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6AE" w:rsidRDefault="004616AE" w:rsidP="004616AE">
      <w:pPr>
        <w:jc w:val="center"/>
        <w:rPr>
          <w:sz w:val="24"/>
          <w:szCs w:val="24"/>
        </w:rPr>
      </w:pPr>
      <w:r>
        <w:rPr>
          <w:noProof/>
          <w:sz w:val="24"/>
          <w:szCs w:val="24"/>
          <w:lang w:val="en-ZA" w:eastAsia="en-ZA"/>
        </w:rPr>
        <w:drawing>
          <wp:inline distT="0" distB="0" distL="0" distR="0">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rsidR="004616AE" w:rsidRDefault="004616AE" w:rsidP="004616AE">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4616AE" w:rsidRDefault="004616AE" w:rsidP="004616AE">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4616AE" w:rsidRDefault="004616AE" w:rsidP="004616AE">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4616AE" w:rsidRDefault="004616AE" w:rsidP="004616AE">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4616AE" w:rsidRDefault="004616AE" w:rsidP="004616AE">
      <w:pPr>
        <w:jc w:val="center"/>
        <w:rPr>
          <w:rFonts w:ascii="Arial" w:hAnsi="Arial" w:cs="Arial"/>
          <w:b/>
          <w:bCs/>
          <w:sz w:val="24"/>
          <w:szCs w:val="24"/>
        </w:rPr>
      </w:pPr>
      <w:r>
        <w:rPr>
          <w:rFonts w:ascii="Arial" w:hAnsi="Arial" w:cs="Arial"/>
          <w:b/>
          <w:bCs/>
          <w:sz w:val="24"/>
          <w:szCs w:val="24"/>
        </w:rPr>
        <w:t>FOR WRITTEN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117224">
        <w:rPr>
          <w:rFonts w:ascii="Arial" w:hAnsi="Arial" w:cs="Arial"/>
          <w:b/>
          <w:bCs/>
          <w:sz w:val="24"/>
          <w:szCs w:val="24"/>
        </w:rPr>
        <w:t>27</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Default="00542BB5" w:rsidP="00706CA8">
      <w:pPr>
        <w:spacing w:before="100" w:beforeAutospacing="1" w:after="100" w:afterAutospacing="1" w:line="360" w:lineRule="auto"/>
        <w:ind w:left="851" w:hanging="851"/>
        <w:jc w:val="both"/>
        <w:rPr>
          <w:rFonts w:ascii="Arial" w:hAnsi="Arial" w:cs="Arial"/>
          <w:b/>
          <w:noProof/>
          <w:sz w:val="24"/>
          <w:szCs w:val="24"/>
          <w:lang w:val="af-ZA"/>
        </w:rPr>
      </w:pPr>
      <w:r w:rsidRPr="00542BB5">
        <w:rPr>
          <w:rFonts w:ascii="Arial" w:hAnsi="Arial" w:cs="Arial"/>
          <w:b/>
          <w:noProof/>
          <w:sz w:val="24"/>
          <w:szCs w:val="24"/>
          <w:lang w:val="af-ZA"/>
        </w:rPr>
        <w:t xml:space="preserve">Ms H Bucwa (DA) </w:t>
      </w:r>
      <w:r w:rsidR="002A76BD" w:rsidRPr="00ED188E">
        <w:rPr>
          <w:rFonts w:ascii="Arial" w:hAnsi="Arial" w:cs="Arial"/>
          <w:b/>
          <w:noProof/>
          <w:sz w:val="24"/>
          <w:szCs w:val="24"/>
          <w:lang w:val="af-ZA"/>
        </w:rPr>
        <w:t>to ask the Minister of Higher Education and Training:</w:t>
      </w:r>
    </w:p>
    <w:p w:rsidR="00542BB5" w:rsidRPr="00542BB5" w:rsidRDefault="00542BB5" w:rsidP="00542BB5">
      <w:pPr>
        <w:pStyle w:val="ListParagraph"/>
        <w:numPr>
          <w:ilvl w:val="0"/>
          <w:numId w:val="18"/>
        </w:numPr>
        <w:spacing w:before="100" w:beforeAutospacing="1" w:after="100" w:afterAutospacing="1" w:line="360" w:lineRule="auto"/>
        <w:ind w:left="567" w:hanging="567"/>
        <w:jc w:val="both"/>
        <w:rPr>
          <w:rFonts w:ascii="Arial" w:eastAsia="Times New Roman" w:hAnsi="Arial" w:cs="Arial"/>
          <w:sz w:val="24"/>
          <w:szCs w:val="24"/>
          <w:lang w:val="af-ZA"/>
        </w:rPr>
      </w:pPr>
      <w:r w:rsidRPr="00542BB5">
        <w:rPr>
          <w:rFonts w:ascii="Arial" w:eastAsia="Times New Roman" w:hAnsi="Arial" w:cs="Arial"/>
          <w:sz w:val="24"/>
          <w:szCs w:val="24"/>
          <w:lang w:val="af-ZA"/>
        </w:rPr>
        <w:t>(a) Why did the National Student Financial Aid Scheme (NSFAS) fail to spend R2,57 billion of funding for student support in the 2016-17 financial year, (b) what is the detailed breakdown of the plans that the specified funding was supposed to address and (c) what is the total number of potential grant recipients who were affected;</w:t>
      </w:r>
    </w:p>
    <w:p w:rsidR="00542BB5" w:rsidRPr="00542BB5" w:rsidRDefault="00542BB5" w:rsidP="00542BB5">
      <w:pPr>
        <w:pStyle w:val="ListParagraph"/>
        <w:numPr>
          <w:ilvl w:val="0"/>
          <w:numId w:val="18"/>
        </w:numPr>
        <w:spacing w:before="100" w:beforeAutospacing="1" w:after="100" w:afterAutospacing="1" w:line="360" w:lineRule="auto"/>
        <w:ind w:left="567" w:hanging="567"/>
        <w:jc w:val="both"/>
        <w:rPr>
          <w:rFonts w:ascii="Arial" w:eastAsia="Times New Roman" w:hAnsi="Arial" w:cs="Arial"/>
          <w:sz w:val="24"/>
          <w:szCs w:val="24"/>
          <w:lang w:val="af-ZA"/>
        </w:rPr>
      </w:pPr>
      <w:r w:rsidRPr="00542BB5">
        <w:rPr>
          <w:rFonts w:ascii="Arial" w:eastAsia="Times New Roman" w:hAnsi="Arial" w:cs="Arial"/>
          <w:sz w:val="24"/>
          <w:szCs w:val="24"/>
          <w:lang w:val="af-ZA"/>
        </w:rPr>
        <w:t>why did the NSFAS loan impairment increase to R29 billion in the specified financial year;</w:t>
      </w:r>
    </w:p>
    <w:p w:rsidR="00542BB5" w:rsidRPr="00542BB5" w:rsidRDefault="00542BB5" w:rsidP="00542BB5">
      <w:pPr>
        <w:pStyle w:val="ListParagraph"/>
        <w:numPr>
          <w:ilvl w:val="0"/>
          <w:numId w:val="18"/>
        </w:numPr>
        <w:spacing w:before="100" w:beforeAutospacing="1" w:after="100" w:afterAutospacing="1" w:line="360" w:lineRule="auto"/>
        <w:ind w:left="567" w:hanging="567"/>
        <w:jc w:val="both"/>
        <w:rPr>
          <w:rFonts w:ascii="Arial" w:eastAsia="Times New Roman" w:hAnsi="Arial" w:cs="Arial"/>
          <w:sz w:val="24"/>
          <w:szCs w:val="24"/>
          <w:lang w:val="af-ZA"/>
        </w:rPr>
      </w:pPr>
      <w:r w:rsidRPr="00542BB5">
        <w:rPr>
          <w:rFonts w:ascii="Arial" w:eastAsia="Times New Roman" w:hAnsi="Arial" w:cs="Arial"/>
          <w:sz w:val="24"/>
          <w:szCs w:val="24"/>
          <w:lang w:val="af-ZA"/>
        </w:rPr>
        <w:t>(a) why did NSFAS fail to give universities half of the upfront payment due to them at the beginning of the 2017 academic year, (b) how were (i) universities and (ii) students affected and (c) what plans have been put in place to prevent this from reoccurring in 2018;</w:t>
      </w:r>
    </w:p>
    <w:p w:rsidR="00542BB5" w:rsidRDefault="00542BB5" w:rsidP="00542BB5">
      <w:pPr>
        <w:pStyle w:val="ListParagraph"/>
        <w:numPr>
          <w:ilvl w:val="0"/>
          <w:numId w:val="18"/>
        </w:numPr>
        <w:spacing w:before="100" w:beforeAutospacing="1" w:after="100" w:afterAutospacing="1" w:line="360" w:lineRule="auto"/>
        <w:ind w:left="567" w:hanging="567"/>
        <w:jc w:val="both"/>
        <w:rPr>
          <w:rFonts w:ascii="Arial" w:hAnsi="Arial" w:cs="Arial"/>
          <w:sz w:val="24"/>
          <w:szCs w:val="24"/>
        </w:rPr>
      </w:pPr>
      <w:r w:rsidRPr="00542BB5">
        <w:rPr>
          <w:rFonts w:ascii="Arial" w:eastAsia="Times New Roman" w:hAnsi="Arial" w:cs="Arial"/>
          <w:sz w:val="24"/>
          <w:szCs w:val="24"/>
          <w:lang w:val="af-ZA"/>
        </w:rPr>
        <w:t>(a) why did NSFAS fail to give around 60% of students their living allowances during the specified timeframe in the 2017 academic year and (b) what plans have been put in place to prevent this from reoccurring in 2018?</w:t>
      </w:r>
      <w:r w:rsidR="004A5705" w:rsidRPr="00542BB5">
        <w:rPr>
          <w:rFonts w:ascii="Arial" w:hAnsi="Arial" w:cs="Arial"/>
          <w:sz w:val="24"/>
          <w:szCs w:val="24"/>
        </w:rPr>
        <w:tab/>
      </w:r>
      <w:r>
        <w:rPr>
          <w:rFonts w:ascii="Arial" w:hAnsi="Arial" w:cs="Arial"/>
          <w:sz w:val="24"/>
          <w:szCs w:val="24"/>
        </w:rPr>
        <w:tab/>
      </w:r>
    </w:p>
    <w:p w:rsidR="004A5705" w:rsidRPr="00542BB5" w:rsidRDefault="00542BB5" w:rsidP="00542BB5">
      <w:pPr>
        <w:pStyle w:val="ListParagraph"/>
        <w:spacing w:before="100" w:beforeAutospacing="1" w:after="100" w:afterAutospacing="1" w:line="360" w:lineRule="auto"/>
        <w:ind w:left="8505" w:hanging="112"/>
        <w:jc w:val="both"/>
        <w:rPr>
          <w:rFonts w:ascii="Arial" w:hAnsi="Arial" w:cs="Arial"/>
          <w:sz w:val="24"/>
          <w:szCs w:val="24"/>
        </w:rPr>
      </w:pPr>
      <w:r w:rsidRPr="002C0C62">
        <w:rPr>
          <w:rFonts w:ascii="Arial" w:hAnsi="Arial" w:cs="Arial"/>
          <w:b/>
          <w:noProof/>
          <w:sz w:val="24"/>
          <w:szCs w:val="24"/>
          <w:lang w:val="af-ZA"/>
        </w:rPr>
        <w:lastRenderedPageBreak/>
        <w:t>NW</w:t>
      </w:r>
      <w:r>
        <w:rPr>
          <w:rFonts w:ascii="Arial" w:hAnsi="Arial" w:cs="Arial"/>
          <w:b/>
          <w:noProof/>
          <w:sz w:val="24"/>
          <w:szCs w:val="24"/>
          <w:lang w:val="af-ZA"/>
        </w:rPr>
        <w:t>31</w:t>
      </w:r>
      <w:r w:rsidRPr="002C0C62">
        <w:rPr>
          <w:rFonts w:ascii="Arial" w:hAnsi="Arial" w:cs="Arial"/>
          <w:b/>
          <w:noProof/>
          <w:sz w:val="24"/>
          <w:szCs w:val="24"/>
          <w:lang w:val="af-ZA"/>
        </w:rPr>
        <w:t>E</w:t>
      </w:r>
    </w:p>
    <w:p w:rsidR="009F28E4" w:rsidRPr="000C42F3" w:rsidRDefault="009F28E4" w:rsidP="009F28E4">
      <w:pPr>
        <w:spacing w:after="240" w:line="360" w:lineRule="auto"/>
        <w:jc w:val="both"/>
        <w:rPr>
          <w:rFonts w:ascii="Arial" w:hAnsi="Arial" w:cs="Arial"/>
          <w:b/>
          <w:sz w:val="24"/>
          <w:szCs w:val="24"/>
        </w:rPr>
      </w:pPr>
      <w:r w:rsidRPr="000C42F3">
        <w:rPr>
          <w:rFonts w:ascii="Arial" w:hAnsi="Arial" w:cs="Arial"/>
          <w:b/>
          <w:sz w:val="24"/>
          <w:szCs w:val="24"/>
        </w:rPr>
        <w:t>REPLY:</w:t>
      </w:r>
    </w:p>
    <w:p w:rsidR="009F28E4" w:rsidRPr="000C42F3" w:rsidRDefault="009F28E4" w:rsidP="009F28E4">
      <w:pPr>
        <w:pStyle w:val="ListParagraph"/>
        <w:numPr>
          <w:ilvl w:val="0"/>
          <w:numId w:val="20"/>
        </w:numPr>
        <w:tabs>
          <w:tab w:val="left" w:pos="426"/>
        </w:tabs>
        <w:spacing w:after="240" w:line="360" w:lineRule="auto"/>
        <w:ind w:left="851" w:hanging="851"/>
        <w:contextualSpacing w:val="0"/>
        <w:jc w:val="both"/>
        <w:rPr>
          <w:rFonts w:ascii="Arial" w:hAnsi="Arial" w:cs="Arial"/>
          <w:sz w:val="24"/>
          <w:szCs w:val="24"/>
        </w:rPr>
      </w:pPr>
      <w:r w:rsidRPr="000C42F3">
        <w:rPr>
          <w:rFonts w:ascii="Arial" w:hAnsi="Arial" w:cs="Arial"/>
          <w:sz w:val="24"/>
          <w:szCs w:val="24"/>
        </w:rPr>
        <w:t xml:space="preserve">(a) </w:t>
      </w:r>
      <w:r>
        <w:rPr>
          <w:rFonts w:ascii="Arial" w:hAnsi="Arial" w:cs="Arial"/>
          <w:sz w:val="24"/>
          <w:szCs w:val="24"/>
        </w:rPr>
        <w:tab/>
      </w:r>
      <w:r w:rsidRPr="000C42F3">
        <w:rPr>
          <w:rFonts w:ascii="Arial" w:hAnsi="Arial" w:cs="Arial"/>
          <w:sz w:val="24"/>
          <w:szCs w:val="24"/>
        </w:rPr>
        <w:t>For the 2016/17 financial year, the Department of Higher Education and Training made additional funds available</w:t>
      </w:r>
      <w:r>
        <w:rPr>
          <w:rFonts w:ascii="Arial" w:hAnsi="Arial" w:cs="Arial"/>
          <w:sz w:val="24"/>
          <w:szCs w:val="24"/>
        </w:rPr>
        <w:t xml:space="preserve"> for two new funding categories, i.e.</w:t>
      </w:r>
      <w:r w:rsidRPr="000C42F3">
        <w:rPr>
          <w:rFonts w:ascii="Arial" w:hAnsi="Arial" w:cs="Arial"/>
          <w:sz w:val="24"/>
          <w:szCs w:val="24"/>
        </w:rPr>
        <w:t xml:space="preserve"> </w:t>
      </w:r>
      <w:r w:rsidRPr="000C42F3">
        <w:rPr>
          <w:rFonts w:ascii="Arial" w:hAnsi="Arial" w:cs="Arial"/>
          <w:sz w:val="24"/>
          <w:szCs w:val="24"/>
        </w:rPr>
        <w:br/>
        <w:t>R2</w:t>
      </w:r>
      <w:r>
        <w:rPr>
          <w:rFonts w:ascii="Arial" w:hAnsi="Arial" w:cs="Arial"/>
          <w:sz w:val="24"/>
          <w:szCs w:val="24"/>
        </w:rPr>
        <w:t>.</w:t>
      </w:r>
      <w:r w:rsidRPr="000C42F3">
        <w:rPr>
          <w:rFonts w:ascii="Arial" w:hAnsi="Arial" w:cs="Arial"/>
          <w:sz w:val="24"/>
          <w:szCs w:val="24"/>
        </w:rPr>
        <w:t>543 billio</w:t>
      </w:r>
      <w:r>
        <w:rPr>
          <w:rFonts w:ascii="Arial" w:hAnsi="Arial" w:cs="Arial"/>
          <w:sz w:val="24"/>
          <w:szCs w:val="24"/>
        </w:rPr>
        <w:t>n for historic d</w:t>
      </w:r>
      <w:r w:rsidRPr="000C42F3">
        <w:rPr>
          <w:rFonts w:ascii="Arial" w:hAnsi="Arial" w:cs="Arial"/>
          <w:sz w:val="24"/>
          <w:szCs w:val="24"/>
        </w:rPr>
        <w:t xml:space="preserve">ebt and </w:t>
      </w:r>
      <w:r>
        <w:rPr>
          <w:rFonts w:ascii="Arial" w:hAnsi="Arial" w:cs="Arial"/>
          <w:sz w:val="24"/>
          <w:szCs w:val="24"/>
        </w:rPr>
        <w:t>R2.</w:t>
      </w:r>
      <w:r w:rsidRPr="000C42F3">
        <w:rPr>
          <w:rFonts w:ascii="Arial" w:hAnsi="Arial" w:cs="Arial"/>
          <w:sz w:val="24"/>
          <w:szCs w:val="24"/>
        </w:rPr>
        <w:t xml:space="preserve">039 billion for a funding category </w:t>
      </w:r>
      <w:r>
        <w:rPr>
          <w:rFonts w:ascii="Arial" w:hAnsi="Arial" w:cs="Arial"/>
          <w:sz w:val="24"/>
          <w:szCs w:val="24"/>
        </w:rPr>
        <w:t xml:space="preserve">named the </w:t>
      </w:r>
      <w:proofErr w:type="spellStart"/>
      <w:r>
        <w:rPr>
          <w:rFonts w:ascii="Arial" w:hAnsi="Arial" w:cs="Arial"/>
          <w:sz w:val="24"/>
          <w:szCs w:val="24"/>
        </w:rPr>
        <w:t>Kgodiso</w:t>
      </w:r>
      <w:proofErr w:type="spellEnd"/>
      <w:r>
        <w:rPr>
          <w:rFonts w:ascii="Arial" w:hAnsi="Arial" w:cs="Arial"/>
          <w:sz w:val="24"/>
          <w:szCs w:val="24"/>
        </w:rPr>
        <w:t xml:space="preserve"> Fund. The historic debt funding was a </w:t>
      </w:r>
      <w:r w:rsidRPr="000C42F3">
        <w:rPr>
          <w:rFonts w:ascii="Arial" w:hAnsi="Arial" w:cs="Arial"/>
          <w:sz w:val="24"/>
          <w:szCs w:val="24"/>
        </w:rPr>
        <w:t>once-off funding that was made available to assist approximately 71 000 students who qualified for NSFAS in the 2013, 2014 and 2015 academic years, but were ei</w:t>
      </w:r>
      <w:r>
        <w:rPr>
          <w:rFonts w:ascii="Arial" w:hAnsi="Arial" w:cs="Arial"/>
          <w:sz w:val="24"/>
          <w:szCs w:val="24"/>
        </w:rPr>
        <w:t>ther under-</w:t>
      </w:r>
      <w:r w:rsidRPr="000C42F3">
        <w:rPr>
          <w:rFonts w:ascii="Arial" w:hAnsi="Arial" w:cs="Arial"/>
          <w:sz w:val="24"/>
          <w:szCs w:val="24"/>
        </w:rPr>
        <w:t xml:space="preserve"> or un</w:t>
      </w:r>
      <w:r>
        <w:rPr>
          <w:rFonts w:ascii="Arial" w:hAnsi="Arial" w:cs="Arial"/>
          <w:sz w:val="24"/>
          <w:szCs w:val="24"/>
        </w:rPr>
        <w:t>-</w:t>
      </w:r>
      <w:r w:rsidRPr="000C42F3">
        <w:rPr>
          <w:rFonts w:ascii="Arial" w:hAnsi="Arial" w:cs="Arial"/>
          <w:sz w:val="24"/>
          <w:szCs w:val="24"/>
        </w:rPr>
        <w:t xml:space="preserve">funded. The processing of claims for this funding category required the pre-auditing of claims by verifying student fee statements, previous funding status, </w:t>
      </w:r>
      <w:proofErr w:type="gramStart"/>
      <w:r w:rsidRPr="000C42F3">
        <w:rPr>
          <w:rFonts w:ascii="Arial" w:hAnsi="Arial" w:cs="Arial"/>
          <w:sz w:val="24"/>
          <w:szCs w:val="24"/>
        </w:rPr>
        <w:t>proof</w:t>
      </w:r>
      <w:proofErr w:type="gramEnd"/>
      <w:r w:rsidRPr="000C42F3">
        <w:rPr>
          <w:rFonts w:ascii="Arial" w:hAnsi="Arial" w:cs="Arial"/>
          <w:sz w:val="24"/>
          <w:szCs w:val="24"/>
        </w:rPr>
        <w:t xml:space="preserve"> of registration and the inclusion of the student on the original approve</w:t>
      </w:r>
      <w:r>
        <w:rPr>
          <w:rFonts w:ascii="Arial" w:hAnsi="Arial" w:cs="Arial"/>
          <w:sz w:val="24"/>
          <w:szCs w:val="24"/>
        </w:rPr>
        <w:t>d lists from</w:t>
      </w:r>
      <w:r w:rsidRPr="000C42F3">
        <w:rPr>
          <w:rFonts w:ascii="Arial" w:hAnsi="Arial" w:cs="Arial"/>
          <w:sz w:val="24"/>
          <w:szCs w:val="24"/>
        </w:rPr>
        <w:t xml:space="preserve"> universities. This was to ensure that the funded students met the criteria for funding by NSFAS, and to ensure that no duplicate</w:t>
      </w:r>
      <w:r>
        <w:rPr>
          <w:rFonts w:ascii="Arial" w:hAnsi="Arial" w:cs="Arial"/>
          <w:sz w:val="24"/>
          <w:szCs w:val="24"/>
        </w:rPr>
        <w:t xml:space="preserve"> claims were paid. The </w:t>
      </w:r>
      <w:proofErr w:type="spellStart"/>
      <w:r>
        <w:rPr>
          <w:rFonts w:ascii="Arial" w:hAnsi="Arial" w:cs="Arial"/>
          <w:sz w:val="24"/>
          <w:szCs w:val="24"/>
        </w:rPr>
        <w:t>Kgodiso</w:t>
      </w:r>
      <w:proofErr w:type="spellEnd"/>
      <w:r>
        <w:rPr>
          <w:rFonts w:ascii="Arial" w:hAnsi="Arial" w:cs="Arial"/>
          <w:sz w:val="24"/>
          <w:szCs w:val="24"/>
        </w:rPr>
        <w:t xml:space="preserve"> Fund was earmarked for the</w:t>
      </w:r>
      <w:r w:rsidRPr="000C42F3">
        <w:rPr>
          <w:rFonts w:ascii="Arial" w:hAnsi="Arial" w:cs="Arial"/>
          <w:sz w:val="24"/>
          <w:szCs w:val="24"/>
        </w:rPr>
        <w:t xml:space="preserve"> same cohort </w:t>
      </w:r>
      <w:r>
        <w:rPr>
          <w:rFonts w:ascii="Arial" w:hAnsi="Arial" w:cs="Arial"/>
          <w:sz w:val="24"/>
          <w:szCs w:val="24"/>
        </w:rPr>
        <w:t>of students funded through the historic d</w:t>
      </w:r>
      <w:r w:rsidRPr="000C42F3">
        <w:rPr>
          <w:rFonts w:ascii="Arial" w:hAnsi="Arial" w:cs="Arial"/>
          <w:sz w:val="24"/>
          <w:szCs w:val="24"/>
        </w:rPr>
        <w:t>ebt-funding</w:t>
      </w:r>
      <w:r>
        <w:rPr>
          <w:rFonts w:ascii="Arial" w:hAnsi="Arial" w:cs="Arial"/>
          <w:sz w:val="24"/>
          <w:szCs w:val="24"/>
        </w:rPr>
        <w:t xml:space="preserve"> category</w:t>
      </w:r>
      <w:r w:rsidRPr="000C42F3">
        <w:rPr>
          <w:rFonts w:ascii="Arial" w:hAnsi="Arial" w:cs="Arial"/>
          <w:sz w:val="24"/>
          <w:szCs w:val="24"/>
        </w:rPr>
        <w:t>, but was intended to meet the</w:t>
      </w:r>
      <w:r>
        <w:rPr>
          <w:rFonts w:ascii="Arial" w:hAnsi="Arial" w:cs="Arial"/>
          <w:sz w:val="24"/>
          <w:szCs w:val="24"/>
        </w:rPr>
        <w:t>ir study costs for the</w:t>
      </w:r>
      <w:r w:rsidRPr="000C42F3">
        <w:rPr>
          <w:rFonts w:ascii="Arial" w:hAnsi="Arial" w:cs="Arial"/>
          <w:sz w:val="24"/>
          <w:szCs w:val="24"/>
        </w:rPr>
        <w:t xml:space="preserve"> 2016 academic year </w:t>
      </w:r>
      <w:r>
        <w:rPr>
          <w:rFonts w:ascii="Arial" w:hAnsi="Arial" w:cs="Arial"/>
          <w:sz w:val="24"/>
          <w:szCs w:val="24"/>
        </w:rPr>
        <w:t xml:space="preserve">and subsequent years </w:t>
      </w:r>
      <w:r w:rsidRPr="000C42F3">
        <w:rPr>
          <w:rFonts w:ascii="Arial" w:hAnsi="Arial" w:cs="Arial"/>
          <w:sz w:val="24"/>
          <w:szCs w:val="24"/>
        </w:rPr>
        <w:t>onwards.</w:t>
      </w:r>
    </w:p>
    <w:p w:rsidR="009F28E4" w:rsidRPr="000C42F3" w:rsidRDefault="009F28E4" w:rsidP="009F28E4">
      <w:pPr>
        <w:pStyle w:val="ListParagraph"/>
        <w:tabs>
          <w:tab w:val="left" w:pos="426"/>
        </w:tabs>
        <w:spacing w:after="240" w:line="360" w:lineRule="auto"/>
        <w:ind w:left="851" w:hanging="851"/>
        <w:contextualSpacing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0C42F3">
        <w:rPr>
          <w:rFonts w:ascii="Arial" w:hAnsi="Arial" w:cs="Arial"/>
          <w:sz w:val="24"/>
          <w:szCs w:val="24"/>
        </w:rPr>
        <w:t>The unutilised</w:t>
      </w:r>
      <w:r>
        <w:rPr>
          <w:rFonts w:ascii="Arial" w:hAnsi="Arial" w:cs="Arial"/>
          <w:sz w:val="24"/>
          <w:szCs w:val="24"/>
        </w:rPr>
        <w:t xml:space="preserve"> R2.</w:t>
      </w:r>
      <w:r w:rsidRPr="000C42F3">
        <w:rPr>
          <w:rFonts w:ascii="Arial" w:hAnsi="Arial" w:cs="Arial"/>
          <w:sz w:val="24"/>
          <w:szCs w:val="24"/>
        </w:rPr>
        <w:t>57 billion was re-distributed from these two fund</w:t>
      </w:r>
      <w:r>
        <w:rPr>
          <w:rFonts w:ascii="Arial" w:hAnsi="Arial" w:cs="Arial"/>
          <w:sz w:val="24"/>
          <w:szCs w:val="24"/>
        </w:rPr>
        <w:t>ing</w:t>
      </w:r>
      <w:r w:rsidRPr="000C42F3">
        <w:rPr>
          <w:rFonts w:ascii="Arial" w:hAnsi="Arial" w:cs="Arial"/>
          <w:sz w:val="24"/>
          <w:szCs w:val="24"/>
        </w:rPr>
        <w:t xml:space="preserve"> categories, due to a number of factors. Firstly, universities were not able to submit loan agreement forms for all the students originally identified as needing funding for their historic debt from 2013 to 2015, despite extensions provided by NSFAS. This was because many of the students were no longer on campus and therefore did not come forward to sign agreements. Where agreements were signed, many of the students did not provide the correct supporting documentation, and therefore could not be processed. This was required to ensure that the funding was bein</w:t>
      </w:r>
      <w:r>
        <w:rPr>
          <w:rFonts w:ascii="Arial" w:hAnsi="Arial" w:cs="Arial"/>
          <w:sz w:val="24"/>
          <w:szCs w:val="24"/>
        </w:rPr>
        <w:t>g used for its intended purpose</w:t>
      </w:r>
      <w:r w:rsidRPr="000C42F3">
        <w:rPr>
          <w:rFonts w:ascii="Arial" w:hAnsi="Arial" w:cs="Arial"/>
          <w:sz w:val="24"/>
          <w:szCs w:val="24"/>
        </w:rPr>
        <w:t xml:space="preserve">. These factors affected the utilisation </w:t>
      </w:r>
      <w:r>
        <w:rPr>
          <w:rFonts w:ascii="Arial" w:hAnsi="Arial" w:cs="Arial"/>
          <w:sz w:val="24"/>
          <w:szCs w:val="24"/>
        </w:rPr>
        <w:t>of both the historic d</w:t>
      </w:r>
      <w:r w:rsidRPr="000C42F3">
        <w:rPr>
          <w:rFonts w:ascii="Arial" w:hAnsi="Arial" w:cs="Arial"/>
          <w:sz w:val="24"/>
          <w:szCs w:val="24"/>
        </w:rPr>
        <w:t xml:space="preserve">ebt and the </w:t>
      </w:r>
      <w:proofErr w:type="spellStart"/>
      <w:r w:rsidRPr="000C42F3">
        <w:rPr>
          <w:rFonts w:ascii="Arial" w:hAnsi="Arial" w:cs="Arial"/>
          <w:sz w:val="24"/>
          <w:szCs w:val="24"/>
        </w:rPr>
        <w:t>Kgodiso</w:t>
      </w:r>
      <w:proofErr w:type="spellEnd"/>
      <w:r w:rsidRPr="000C42F3">
        <w:rPr>
          <w:rFonts w:ascii="Arial" w:hAnsi="Arial" w:cs="Arial"/>
          <w:sz w:val="24"/>
          <w:szCs w:val="24"/>
        </w:rPr>
        <w:t xml:space="preserve"> funding.</w:t>
      </w:r>
    </w:p>
    <w:p w:rsidR="009F28E4" w:rsidRPr="000C42F3" w:rsidRDefault="009F28E4" w:rsidP="009F28E4">
      <w:pPr>
        <w:pStyle w:val="ListParagraph"/>
        <w:tabs>
          <w:tab w:val="left" w:pos="426"/>
        </w:tabs>
        <w:spacing w:after="240" w:line="360" w:lineRule="auto"/>
        <w:ind w:left="851" w:hanging="851"/>
        <w:contextualSpacing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0C42F3">
        <w:rPr>
          <w:rFonts w:ascii="Arial" w:hAnsi="Arial" w:cs="Arial"/>
          <w:sz w:val="24"/>
          <w:szCs w:val="24"/>
        </w:rPr>
        <w:t xml:space="preserve">Following a directive sent to all institutions by the Department, there were a significant number of first time entering students (FTENs) that registered at the universities but remained unfunded in 2016. Based on information provided by </w:t>
      </w:r>
      <w:r w:rsidRPr="000C42F3">
        <w:rPr>
          <w:rFonts w:ascii="Arial" w:hAnsi="Arial" w:cs="Arial"/>
          <w:sz w:val="24"/>
          <w:szCs w:val="24"/>
        </w:rPr>
        <w:lastRenderedPageBreak/>
        <w:t>universities, the</w:t>
      </w:r>
      <w:r>
        <w:rPr>
          <w:rFonts w:ascii="Arial" w:hAnsi="Arial" w:cs="Arial"/>
          <w:sz w:val="24"/>
          <w:szCs w:val="24"/>
        </w:rPr>
        <w:t xml:space="preserve"> under-utilised funds from the historic d</w:t>
      </w:r>
      <w:r w:rsidRPr="000C42F3">
        <w:rPr>
          <w:rFonts w:ascii="Arial" w:hAnsi="Arial" w:cs="Arial"/>
          <w:sz w:val="24"/>
          <w:szCs w:val="24"/>
        </w:rPr>
        <w:t xml:space="preserve">ebt and </w:t>
      </w:r>
      <w:proofErr w:type="spellStart"/>
      <w:r w:rsidRPr="000C42F3">
        <w:rPr>
          <w:rFonts w:ascii="Arial" w:hAnsi="Arial" w:cs="Arial"/>
          <w:sz w:val="24"/>
          <w:szCs w:val="24"/>
        </w:rPr>
        <w:t>Kgodiso</w:t>
      </w:r>
      <w:proofErr w:type="spellEnd"/>
      <w:r w:rsidRPr="000C42F3">
        <w:rPr>
          <w:rFonts w:ascii="Arial" w:hAnsi="Arial" w:cs="Arial"/>
          <w:sz w:val="24"/>
          <w:szCs w:val="24"/>
        </w:rPr>
        <w:t xml:space="preserve"> funding categories were then</w:t>
      </w:r>
      <w:r>
        <w:rPr>
          <w:rFonts w:ascii="Arial" w:hAnsi="Arial" w:cs="Arial"/>
          <w:sz w:val="24"/>
          <w:szCs w:val="24"/>
        </w:rPr>
        <w:t xml:space="preserve"> re-directed to fund </w:t>
      </w:r>
      <w:r w:rsidRPr="000C42F3">
        <w:rPr>
          <w:rFonts w:ascii="Arial" w:hAnsi="Arial" w:cs="Arial"/>
          <w:sz w:val="24"/>
          <w:szCs w:val="24"/>
        </w:rPr>
        <w:t>these students</w:t>
      </w:r>
      <w:r>
        <w:rPr>
          <w:rFonts w:ascii="Arial" w:hAnsi="Arial" w:cs="Arial"/>
          <w:sz w:val="24"/>
          <w:szCs w:val="24"/>
        </w:rPr>
        <w:t xml:space="preserve"> </w:t>
      </w:r>
      <w:r w:rsidRPr="000C42F3">
        <w:rPr>
          <w:rFonts w:ascii="Arial" w:hAnsi="Arial" w:cs="Arial"/>
          <w:sz w:val="24"/>
          <w:szCs w:val="24"/>
        </w:rPr>
        <w:t>in November 2016</w:t>
      </w:r>
      <w:r>
        <w:rPr>
          <w:rFonts w:ascii="Arial" w:hAnsi="Arial" w:cs="Arial"/>
          <w:sz w:val="24"/>
          <w:szCs w:val="24"/>
        </w:rPr>
        <w:t xml:space="preserve">, and was at first </w:t>
      </w:r>
      <w:r w:rsidRPr="000C42F3">
        <w:rPr>
          <w:rFonts w:ascii="Arial" w:hAnsi="Arial" w:cs="Arial"/>
          <w:sz w:val="24"/>
          <w:szCs w:val="24"/>
        </w:rPr>
        <w:t xml:space="preserve">only made available </w:t>
      </w:r>
      <w:r>
        <w:rPr>
          <w:rFonts w:ascii="Arial" w:hAnsi="Arial" w:cs="Arial"/>
          <w:sz w:val="24"/>
          <w:szCs w:val="24"/>
        </w:rPr>
        <w:t xml:space="preserve">to </w:t>
      </w:r>
      <w:r w:rsidRPr="000C42F3">
        <w:rPr>
          <w:rFonts w:ascii="Arial" w:hAnsi="Arial" w:cs="Arial"/>
          <w:sz w:val="24"/>
          <w:szCs w:val="24"/>
        </w:rPr>
        <w:t xml:space="preserve">FTENs. However, despite the reported need for this funding, </w:t>
      </w:r>
      <w:r>
        <w:rPr>
          <w:rFonts w:ascii="Arial" w:hAnsi="Arial" w:cs="Arial"/>
          <w:sz w:val="24"/>
          <w:szCs w:val="24"/>
        </w:rPr>
        <w:t>the</w:t>
      </w:r>
      <w:r w:rsidRPr="000C42F3">
        <w:rPr>
          <w:rFonts w:ascii="Arial" w:hAnsi="Arial" w:cs="Arial"/>
          <w:sz w:val="24"/>
          <w:szCs w:val="24"/>
        </w:rPr>
        <w:t xml:space="preserve"> FTENs funding was not fully utilised, as students either could not take up the funding or did not accept the funding made available within the financial year. There is anecdotal evidence that some students would not sign loan forms, as they believed they should be funded without any obligations.</w:t>
      </w:r>
    </w:p>
    <w:p w:rsidR="009F28E4" w:rsidRPr="000C42F3" w:rsidRDefault="009F28E4" w:rsidP="009F28E4">
      <w:pPr>
        <w:pStyle w:val="ListParagraph"/>
        <w:tabs>
          <w:tab w:val="left" w:pos="426"/>
        </w:tabs>
        <w:spacing w:after="240" w:line="360" w:lineRule="auto"/>
        <w:ind w:left="851" w:hanging="851"/>
        <w:contextualSpacing w:val="0"/>
        <w:jc w:val="both"/>
        <w:rPr>
          <w:rFonts w:ascii="Arial" w:hAnsi="Arial" w:cs="Arial"/>
          <w:sz w:val="24"/>
          <w:szCs w:val="24"/>
        </w:rPr>
      </w:pPr>
      <w:r>
        <w:rPr>
          <w:rFonts w:ascii="Arial" w:hAnsi="Arial" w:cs="Arial"/>
          <w:sz w:val="24"/>
          <w:szCs w:val="24"/>
        </w:rPr>
        <w:tab/>
      </w:r>
      <w:r>
        <w:rPr>
          <w:rFonts w:ascii="Arial" w:hAnsi="Arial" w:cs="Arial"/>
          <w:sz w:val="24"/>
          <w:szCs w:val="24"/>
        </w:rPr>
        <w:tab/>
        <w:t>In addition to the</w:t>
      </w:r>
      <w:r w:rsidRPr="000C42F3">
        <w:rPr>
          <w:rFonts w:ascii="Arial" w:hAnsi="Arial" w:cs="Arial"/>
          <w:sz w:val="24"/>
          <w:szCs w:val="24"/>
        </w:rPr>
        <w:t xml:space="preserve"> university funding</w:t>
      </w:r>
      <w:r>
        <w:rPr>
          <w:rFonts w:ascii="Arial" w:hAnsi="Arial" w:cs="Arial"/>
          <w:sz w:val="24"/>
          <w:szCs w:val="24"/>
        </w:rPr>
        <w:t xml:space="preserve"> outlined above</w:t>
      </w:r>
      <w:r w:rsidRPr="000C42F3">
        <w:rPr>
          <w:rFonts w:ascii="Arial" w:hAnsi="Arial" w:cs="Arial"/>
          <w:sz w:val="24"/>
          <w:szCs w:val="24"/>
        </w:rPr>
        <w:t>, the Technical and Vocational Education and Training (TVET) college funding was not fully utilised as not all colleges had sufficient numbers of enrolled students. This effectively means that some colleges had fewer enrolled students than anticipated and were not able to claim all the allocated funds. These funds were then re-allocated to colleges that required more funding late</w:t>
      </w:r>
      <w:r>
        <w:rPr>
          <w:rFonts w:ascii="Arial" w:hAnsi="Arial" w:cs="Arial"/>
          <w:sz w:val="24"/>
          <w:szCs w:val="24"/>
        </w:rPr>
        <w:t>r</w:t>
      </w:r>
      <w:r w:rsidRPr="000C42F3">
        <w:rPr>
          <w:rFonts w:ascii="Arial" w:hAnsi="Arial" w:cs="Arial"/>
          <w:sz w:val="24"/>
          <w:szCs w:val="24"/>
        </w:rPr>
        <w:t xml:space="preserve"> in the year. The latter colleges then claimed the re-allocated funding in the 2017 academic year as a late payment.</w:t>
      </w:r>
    </w:p>
    <w:p w:rsidR="009F28E4" w:rsidRPr="000C42F3" w:rsidRDefault="009F28E4" w:rsidP="009F28E4">
      <w:pPr>
        <w:pStyle w:val="ListParagraph"/>
        <w:tabs>
          <w:tab w:val="left" w:pos="426"/>
        </w:tabs>
        <w:spacing w:after="240" w:line="360" w:lineRule="auto"/>
        <w:ind w:left="851" w:hanging="851"/>
        <w:contextualSpacing w:val="0"/>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t>This R2.</w:t>
      </w:r>
      <w:r w:rsidRPr="000C42F3">
        <w:rPr>
          <w:rFonts w:ascii="Arial" w:hAnsi="Arial" w:cs="Arial"/>
          <w:sz w:val="24"/>
          <w:szCs w:val="24"/>
        </w:rPr>
        <w:t>57 billion was allocated to the following funding programmes:</w:t>
      </w:r>
    </w:p>
    <w:tbl>
      <w:tblPr>
        <w:tblStyle w:val="TableGrid"/>
        <w:tblW w:w="8789" w:type="dxa"/>
        <w:tblInd w:w="562" w:type="dxa"/>
        <w:tblLayout w:type="fixed"/>
        <w:tblLook w:val="0420" w:firstRow="1" w:lastRow="0" w:firstColumn="0" w:lastColumn="0" w:noHBand="0" w:noVBand="1"/>
      </w:tblPr>
      <w:tblGrid>
        <w:gridCol w:w="3119"/>
        <w:gridCol w:w="1276"/>
        <w:gridCol w:w="1417"/>
        <w:gridCol w:w="1559"/>
        <w:gridCol w:w="1418"/>
      </w:tblGrid>
      <w:tr w:rsidR="009F28E4" w:rsidRPr="000C42F3" w:rsidTr="00F77619">
        <w:trPr>
          <w:trHeight w:val="20"/>
        </w:trPr>
        <w:tc>
          <w:tcPr>
            <w:tcW w:w="3119" w:type="dxa"/>
            <w:vAlign w:val="center"/>
            <w:hideMark/>
          </w:tcPr>
          <w:p w:rsidR="009F28E4" w:rsidRPr="009B2B9C" w:rsidRDefault="009F28E4" w:rsidP="00F77619">
            <w:pPr>
              <w:spacing w:before="60" w:after="60" w:line="240" w:lineRule="auto"/>
              <w:jc w:val="center"/>
              <w:rPr>
                <w:rFonts w:ascii="Arial" w:hAnsi="Arial" w:cs="Arial"/>
                <w:b/>
                <w:lang w:val="en-US"/>
              </w:rPr>
            </w:pPr>
            <w:r>
              <w:rPr>
                <w:rFonts w:ascii="Arial" w:hAnsi="Arial" w:cs="Arial"/>
                <w:b/>
                <w:lang w:val="en-US"/>
              </w:rPr>
              <w:t>Funding Programme</w:t>
            </w:r>
          </w:p>
        </w:tc>
        <w:tc>
          <w:tcPr>
            <w:tcW w:w="1276" w:type="dxa"/>
            <w:vAlign w:val="center"/>
            <w:hideMark/>
          </w:tcPr>
          <w:p w:rsidR="009F28E4" w:rsidRPr="009B2B9C" w:rsidRDefault="009F28E4" w:rsidP="00F77619">
            <w:pPr>
              <w:spacing w:before="60" w:after="60" w:line="240" w:lineRule="auto"/>
              <w:jc w:val="center"/>
              <w:rPr>
                <w:rFonts w:ascii="Arial" w:hAnsi="Arial" w:cs="Arial"/>
                <w:b/>
                <w:lang w:val="en-US"/>
              </w:rPr>
            </w:pPr>
            <w:r w:rsidRPr="009B2B9C">
              <w:rPr>
                <w:rFonts w:ascii="Arial" w:hAnsi="Arial" w:cs="Arial"/>
                <w:b/>
                <w:kern w:val="24"/>
                <w:lang w:val="en-ZA"/>
              </w:rPr>
              <w:t>Received</w:t>
            </w:r>
          </w:p>
          <w:p w:rsidR="009F28E4" w:rsidRPr="009B2B9C" w:rsidRDefault="009F28E4" w:rsidP="00F77619">
            <w:pPr>
              <w:spacing w:before="60" w:after="60" w:line="240" w:lineRule="auto"/>
              <w:jc w:val="center"/>
              <w:rPr>
                <w:rFonts w:ascii="Arial" w:hAnsi="Arial" w:cs="Arial"/>
                <w:b/>
                <w:lang w:val="en-US"/>
              </w:rPr>
            </w:pPr>
            <w:r w:rsidRPr="009B2B9C">
              <w:rPr>
                <w:rFonts w:ascii="Arial" w:hAnsi="Arial" w:cs="Arial"/>
                <w:b/>
                <w:kern w:val="24"/>
                <w:lang w:val="en-ZA"/>
              </w:rPr>
              <w:t>2016</w:t>
            </w:r>
          </w:p>
          <w:p w:rsidR="009F28E4" w:rsidRPr="009B2B9C" w:rsidRDefault="009F28E4" w:rsidP="00F77619">
            <w:pPr>
              <w:spacing w:before="60" w:after="60" w:line="240" w:lineRule="auto"/>
              <w:jc w:val="center"/>
              <w:rPr>
                <w:rFonts w:ascii="Arial" w:hAnsi="Arial" w:cs="Arial"/>
                <w:b/>
                <w:lang w:val="en-US"/>
              </w:rPr>
            </w:pPr>
            <w:proofErr w:type="spellStart"/>
            <w:r w:rsidRPr="009B2B9C">
              <w:rPr>
                <w:rFonts w:ascii="Arial" w:hAnsi="Arial" w:cs="Arial"/>
                <w:b/>
                <w:kern w:val="24"/>
                <w:lang w:val="en-ZA"/>
              </w:rPr>
              <w:t>R’m</w:t>
            </w:r>
            <w:proofErr w:type="spellEnd"/>
          </w:p>
        </w:tc>
        <w:tc>
          <w:tcPr>
            <w:tcW w:w="1417" w:type="dxa"/>
            <w:vAlign w:val="center"/>
            <w:hideMark/>
          </w:tcPr>
          <w:p w:rsidR="009F28E4" w:rsidRPr="009B2B9C" w:rsidRDefault="009F28E4" w:rsidP="00F77619">
            <w:pPr>
              <w:spacing w:before="60" w:after="60" w:line="240" w:lineRule="auto"/>
              <w:jc w:val="center"/>
              <w:rPr>
                <w:rFonts w:ascii="Arial" w:hAnsi="Arial" w:cs="Arial"/>
                <w:b/>
                <w:lang w:val="en-US"/>
              </w:rPr>
            </w:pPr>
            <w:r w:rsidRPr="009B2B9C">
              <w:rPr>
                <w:rFonts w:ascii="Arial" w:hAnsi="Arial" w:cs="Arial"/>
                <w:b/>
                <w:kern w:val="24"/>
                <w:lang w:val="en-ZA"/>
              </w:rPr>
              <w:t>Disbursed</w:t>
            </w:r>
          </w:p>
          <w:p w:rsidR="009F28E4" w:rsidRPr="009B2B9C" w:rsidRDefault="009F28E4" w:rsidP="00F77619">
            <w:pPr>
              <w:spacing w:before="60" w:after="60" w:line="240" w:lineRule="auto"/>
              <w:jc w:val="center"/>
              <w:rPr>
                <w:rFonts w:ascii="Arial" w:hAnsi="Arial" w:cs="Arial"/>
                <w:b/>
                <w:lang w:val="en-US"/>
              </w:rPr>
            </w:pPr>
            <w:r w:rsidRPr="009B2B9C">
              <w:rPr>
                <w:rFonts w:ascii="Arial" w:hAnsi="Arial" w:cs="Arial"/>
                <w:b/>
                <w:kern w:val="24"/>
                <w:lang w:val="en-ZA"/>
              </w:rPr>
              <w:t>2016</w:t>
            </w:r>
          </w:p>
          <w:p w:rsidR="009F28E4" w:rsidRPr="009B2B9C" w:rsidRDefault="009F28E4" w:rsidP="00F77619">
            <w:pPr>
              <w:spacing w:before="60" w:after="60" w:line="240" w:lineRule="auto"/>
              <w:jc w:val="center"/>
              <w:rPr>
                <w:rFonts w:ascii="Arial" w:hAnsi="Arial" w:cs="Arial"/>
                <w:b/>
                <w:lang w:val="en-US"/>
              </w:rPr>
            </w:pPr>
            <w:proofErr w:type="spellStart"/>
            <w:r w:rsidRPr="009B2B9C">
              <w:rPr>
                <w:rFonts w:ascii="Arial" w:hAnsi="Arial" w:cs="Arial"/>
                <w:b/>
                <w:kern w:val="24"/>
                <w:lang w:val="en-ZA"/>
              </w:rPr>
              <w:t>R’m</w:t>
            </w:r>
            <w:proofErr w:type="spellEnd"/>
          </w:p>
        </w:tc>
        <w:tc>
          <w:tcPr>
            <w:tcW w:w="1559" w:type="dxa"/>
            <w:vAlign w:val="center"/>
            <w:hideMark/>
          </w:tcPr>
          <w:p w:rsidR="009F28E4" w:rsidRPr="009B2B9C" w:rsidRDefault="009F28E4" w:rsidP="00F77619">
            <w:pPr>
              <w:spacing w:before="60" w:after="60" w:line="240" w:lineRule="auto"/>
              <w:jc w:val="center"/>
              <w:rPr>
                <w:rFonts w:ascii="Arial" w:hAnsi="Arial" w:cs="Arial"/>
                <w:b/>
                <w:lang w:val="en-US"/>
              </w:rPr>
            </w:pPr>
            <w:r w:rsidRPr="009B2B9C">
              <w:rPr>
                <w:rFonts w:ascii="Arial" w:hAnsi="Arial" w:cs="Arial"/>
                <w:b/>
                <w:kern w:val="24"/>
                <w:lang w:val="en-ZA"/>
              </w:rPr>
              <w:t>Underspend</w:t>
            </w:r>
          </w:p>
          <w:p w:rsidR="009F28E4" w:rsidRPr="009B2B9C" w:rsidRDefault="009F28E4" w:rsidP="00F77619">
            <w:pPr>
              <w:spacing w:before="60" w:after="60" w:line="240" w:lineRule="auto"/>
              <w:jc w:val="center"/>
              <w:rPr>
                <w:rFonts w:ascii="Arial" w:hAnsi="Arial" w:cs="Arial"/>
                <w:b/>
                <w:lang w:val="en-US"/>
              </w:rPr>
            </w:pPr>
            <w:r w:rsidRPr="009B2B9C">
              <w:rPr>
                <w:rFonts w:ascii="Arial" w:hAnsi="Arial" w:cs="Arial"/>
                <w:b/>
                <w:kern w:val="24"/>
                <w:lang w:val="en-ZA"/>
              </w:rPr>
              <w:t>2016</w:t>
            </w:r>
          </w:p>
          <w:p w:rsidR="009F28E4" w:rsidRPr="009B2B9C" w:rsidRDefault="009F28E4" w:rsidP="00F77619">
            <w:pPr>
              <w:spacing w:before="60" w:after="60" w:line="240" w:lineRule="auto"/>
              <w:jc w:val="center"/>
              <w:rPr>
                <w:rFonts w:ascii="Arial" w:hAnsi="Arial" w:cs="Arial"/>
                <w:b/>
                <w:lang w:val="en-US"/>
              </w:rPr>
            </w:pPr>
            <w:proofErr w:type="spellStart"/>
            <w:r w:rsidRPr="009B2B9C">
              <w:rPr>
                <w:rFonts w:ascii="Arial" w:hAnsi="Arial" w:cs="Arial"/>
                <w:b/>
                <w:kern w:val="24"/>
                <w:lang w:val="en-ZA"/>
              </w:rPr>
              <w:t>R’m</w:t>
            </w:r>
            <w:proofErr w:type="spellEnd"/>
          </w:p>
        </w:tc>
        <w:tc>
          <w:tcPr>
            <w:tcW w:w="1418" w:type="dxa"/>
            <w:vAlign w:val="center"/>
            <w:hideMark/>
          </w:tcPr>
          <w:p w:rsidR="009F28E4" w:rsidRPr="009B2B9C" w:rsidRDefault="009F28E4" w:rsidP="00F77619">
            <w:pPr>
              <w:spacing w:before="60" w:after="60" w:line="240" w:lineRule="auto"/>
              <w:jc w:val="center"/>
              <w:rPr>
                <w:rFonts w:ascii="Arial" w:hAnsi="Arial" w:cs="Arial"/>
                <w:b/>
                <w:lang w:val="en-US"/>
              </w:rPr>
            </w:pPr>
            <w:r w:rsidRPr="009B2B9C">
              <w:rPr>
                <w:rFonts w:ascii="Arial" w:hAnsi="Arial" w:cs="Arial"/>
                <w:b/>
                <w:kern w:val="24"/>
                <w:lang w:val="en-ZA"/>
              </w:rPr>
              <w:t>Utilisation</w:t>
            </w:r>
          </w:p>
          <w:p w:rsidR="009F28E4" w:rsidRPr="009B2B9C" w:rsidRDefault="009F28E4" w:rsidP="00F77619">
            <w:pPr>
              <w:spacing w:before="60" w:after="60" w:line="240" w:lineRule="auto"/>
              <w:jc w:val="center"/>
              <w:rPr>
                <w:rFonts w:ascii="Arial" w:hAnsi="Arial" w:cs="Arial"/>
                <w:b/>
                <w:lang w:val="en-US"/>
              </w:rPr>
            </w:pPr>
            <w:r w:rsidRPr="009B2B9C">
              <w:rPr>
                <w:rFonts w:ascii="Arial" w:hAnsi="Arial" w:cs="Arial"/>
                <w:b/>
                <w:kern w:val="24"/>
                <w:lang w:val="en-ZA"/>
              </w:rPr>
              <w:t>%</w:t>
            </w:r>
          </w:p>
        </w:tc>
      </w:tr>
      <w:tr w:rsidR="009F28E4" w:rsidRPr="000C42F3" w:rsidTr="00F77619">
        <w:trPr>
          <w:trHeight w:val="20"/>
        </w:trPr>
        <w:tc>
          <w:tcPr>
            <w:tcW w:w="3119" w:type="dxa"/>
            <w:hideMark/>
          </w:tcPr>
          <w:p w:rsidR="009F28E4" w:rsidRPr="000C42F3" w:rsidRDefault="009F28E4" w:rsidP="00F77619">
            <w:pPr>
              <w:spacing w:before="60" w:after="60" w:line="240" w:lineRule="auto"/>
              <w:textAlignment w:val="bottom"/>
              <w:rPr>
                <w:rFonts w:ascii="Arial" w:hAnsi="Arial" w:cs="Arial"/>
                <w:lang w:val="en-US"/>
              </w:rPr>
            </w:pPr>
            <w:r w:rsidRPr="000C42F3">
              <w:rPr>
                <w:rFonts w:ascii="Arial" w:hAnsi="Arial" w:cs="Arial"/>
                <w:b/>
                <w:bCs/>
                <w:kern w:val="24"/>
                <w:lang w:val="en-ZA"/>
              </w:rPr>
              <w:t>DHET-Historic Debt</w:t>
            </w:r>
          </w:p>
        </w:tc>
        <w:tc>
          <w:tcPr>
            <w:tcW w:w="1276"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b/>
                <w:bCs/>
                <w:kern w:val="24"/>
                <w:lang w:val="en-ZA"/>
              </w:rPr>
              <w:t>4 581</w:t>
            </w:r>
          </w:p>
        </w:tc>
        <w:tc>
          <w:tcPr>
            <w:tcW w:w="1417"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b/>
                <w:bCs/>
                <w:kern w:val="24"/>
                <w:lang w:val="en-ZA"/>
              </w:rPr>
              <w:t>3 160</w:t>
            </w:r>
          </w:p>
        </w:tc>
        <w:tc>
          <w:tcPr>
            <w:tcW w:w="1559"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b/>
                <w:bCs/>
                <w:kern w:val="24"/>
                <w:lang w:val="en-ZA"/>
              </w:rPr>
              <w:t>1 421</w:t>
            </w:r>
          </w:p>
        </w:tc>
        <w:tc>
          <w:tcPr>
            <w:tcW w:w="1418" w:type="dxa"/>
            <w:hideMark/>
          </w:tcPr>
          <w:p w:rsidR="009F28E4" w:rsidRPr="000C42F3" w:rsidRDefault="009F28E4" w:rsidP="00F77619">
            <w:pPr>
              <w:spacing w:before="60" w:after="60" w:line="240" w:lineRule="auto"/>
              <w:jc w:val="center"/>
              <w:textAlignment w:val="bottom"/>
              <w:rPr>
                <w:rFonts w:ascii="Arial" w:hAnsi="Arial" w:cs="Arial"/>
                <w:lang w:val="en-US"/>
              </w:rPr>
            </w:pPr>
            <w:r w:rsidRPr="000C42F3">
              <w:rPr>
                <w:rFonts w:ascii="Arial" w:hAnsi="Arial" w:cs="Arial"/>
                <w:b/>
                <w:bCs/>
                <w:kern w:val="24"/>
                <w:lang w:val="en-ZA"/>
              </w:rPr>
              <w:t>69%</w:t>
            </w:r>
          </w:p>
        </w:tc>
      </w:tr>
      <w:tr w:rsidR="009F28E4" w:rsidRPr="000C42F3" w:rsidTr="00F77619">
        <w:trPr>
          <w:trHeight w:val="20"/>
        </w:trPr>
        <w:tc>
          <w:tcPr>
            <w:tcW w:w="3119" w:type="dxa"/>
            <w:hideMark/>
          </w:tcPr>
          <w:p w:rsidR="009F28E4" w:rsidRPr="000C42F3" w:rsidRDefault="009F28E4" w:rsidP="00F77619">
            <w:pPr>
              <w:spacing w:before="60" w:after="60" w:line="240" w:lineRule="auto"/>
              <w:ind w:firstLine="446"/>
              <w:textAlignment w:val="bottom"/>
              <w:rPr>
                <w:rFonts w:ascii="Arial" w:hAnsi="Arial" w:cs="Arial"/>
                <w:lang w:val="en-US"/>
              </w:rPr>
            </w:pPr>
            <w:r w:rsidRPr="000C42F3">
              <w:rPr>
                <w:rFonts w:ascii="Arial" w:hAnsi="Arial" w:cs="Arial"/>
                <w:kern w:val="24"/>
                <w:lang w:val="en-ZA"/>
              </w:rPr>
              <w:t>FTENs</w:t>
            </w:r>
          </w:p>
        </w:tc>
        <w:tc>
          <w:tcPr>
            <w:tcW w:w="1276"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kern w:val="24"/>
                <w:lang w:val="en-ZA"/>
              </w:rPr>
              <w:t>2 142</w:t>
            </w:r>
          </w:p>
        </w:tc>
        <w:tc>
          <w:tcPr>
            <w:tcW w:w="1417"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kern w:val="24"/>
                <w:lang w:val="en-ZA"/>
              </w:rPr>
              <w:t>1 309</w:t>
            </w:r>
          </w:p>
        </w:tc>
        <w:tc>
          <w:tcPr>
            <w:tcW w:w="1559"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kern w:val="24"/>
                <w:lang w:val="en-ZA"/>
              </w:rPr>
              <w:t>833</w:t>
            </w:r>
          </w:p>
        </w:tc>
        <w:tc>
          <w:tcPr>
            <w:tcW w:w="1418" w:type="dxa"/>
            <w:hideMark/>
          </w:tcPr>
          <w:p w:rsidR="009F28E4" w:rsidRPr="000C42F3" w:rsidRDefault="009F28E4" w:rsidP="00F77619">
            <w:pPr>
              <w:spacing w:before="60" w:after="60" w:line="240" w:lineRule="auto"/>
              <w:jc w:val="center"/>
              <w:textAlignment w:val="bottom"/>
              <w:rPr>
                <w:rFonts w:ascii="Arial" w:hAnsi="Arial" w:cs="Arial"/>
                <w:lang w:val="en-US"/>
              </w:rPr>
            </w:pPr>
            <w:r w:rsidRPr="000C42F3">
              <w:rPr>
                <w:rFonts w:ascii="Arial" w:hAnsi="Arial" w:cs="Arial"/>
                <w:kern w:val="24"/>
                <w:lang w:val="en-ZA"/>
              </w:rPr>
              <w:t>61%</w:t>
            </w:r>
          </w:p>
        </w:tc>
      </w:tr>
      <w:tr w:rsidR="009F28E4" w:rsidRPr="000C42F3" w:rsidTr="00F77619">
        <w:trPr>
          <w:trHeight w:val="20"/>
        </w:trPr>
        <w:tc>
          <w:tcPr>
            <w:tcW w:w="3119" w:type="dxa"/>
            <w:hideMark/>
          </w:tcPr>
          <w:p w:rsidR="009F28E4" w:rsidRPr="000C42F3" w:rsidRDefault="009F28E4" w:rsidP="00F77619">
            <w:pPr>
              <w:spacing w:before="60" w:after="60" w:line="240" w:lineRule="auto"/>
              <w:ind w:firstLine="446"/>
              <w:textAlignment w:val="bottom"/>
              <w:rPr>
                <w:rFonts w:ascii="Arial" w:hAnsi="Arial" w:cs="Arial"/>
                <w:lang w:val="en-US"/>
              </w:rPr>
            </w:pPr>
            <w:r w:rsidRPr="000C42F3">
              <w:rPr>
                <w:rFonts w:ascii="Arial" w:eastAsiaTheme="minorEastAsia" w:hAnsi="Arial" w:cs="Arial"/>
                <w:kern w:val="24"/>
                <w:lang w:val="en-ZA"/>
              </w:rPr>
              <w:t>Historic Debt</w:t>
            </w:r>
          </w:p>
        </w:tc>
        <w:tc>
          <w:tcPr>
            <w:tcW w:w="1276"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kern w:val="24"/>
                <w:lang w:val="en-ZA"/>
              </w:rPr>
              <w:t>1 294</w:t>
            </w:r>
          </w:p>
        </w:tc>
        <w:tc>
          <w:tcPr>
            <w:tcW w:w="1417"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kern w:val="24"/>
                <w:lang w:val="en-US"/>
              </w:rPr>
              <w:t>894</w:t>
            </w:r>
          </w:p>
        </w:tc>
        <w:tc>
          <w:tcPr>
            <w:tcW w:w="1559"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kern w:val="24"/>
                <w:lang w:val="en-ZA"/>
              </w:rPr>
              <w:t>400</w:t>
            </w:r>
          </w:p>
        </w:tc>
        <w:tc>
          <w:tcPr>
            <w:tcW w:w="1418" w:type="dxa"/>
            <w:hideMark/>
          </w:tcPr>
          <w:p w:rsidR="009F28E4" w:rsidRPr="000C42F3" w:rsidRDefault="009F28E4" w:rsidP="00F77619">
            <w:pPr>
              <w:spacing w:before="60" w:after="60" w:line="240" w:lineRule="auto"/>
              <w:jc w:val="center"/>
              <w:textAlignment w:val="bottom"/>
              <w:rPr>
                <w:rFonts w:ascii="Arial" w:hAnsi="Arial" w:cs="Arial"/>
                <w:lang w:val="en-US"/>
              </w:rPr>
            </w:pPr>
            <w:r w:rsidRPr="000C42F3">
              <w:rPr>
                <w:rFonts w:ascii="Arial" w:hAnsi="Arial" w:cs="Arial"/>
                <w:kern w:val="24"/>
                <w:lang w:val="en-ZA"/>
              </w:rPr>
              <w:t>69%</w:t>
            </w:r>
          </w:p>
        </w:tc>
      </w:tr>
      <w:tr w:rsidR="009F28E4" w:rsidRPr="000C42F3" w:rsidTr="00F77619">
        <w:trPr>
          <w:trHeight w:val="20"/>
        </w:trPr>
        <w:tc>
          <w:tcPr>
            <w:tcW w:w="3119" w:type="dxa"/>
            <w:hideMark/>
          </w:tcPr>
          <w:p w:rsidR="009F28E4" w:rsidRPr="000C42F3" w:rsidRDefault="009F28E4" w:rsidP="00F77619">
            <w:pPr>
              <w:spacing w:before="60" w:after="60" w:line="240" w:lineRule="auto"/>
              <w:ind w:firstLine="446"/>
              <w:textAlignment w:val="bottom"/>
              <w:rPr>
                <w:rFonts w:ascii="Arial" w:hAnsi="Arial" w:cs="Arial"/>
                <w:lang w:val="en-US"/>
              </w:rPr>
            </w:pPr>
            <w:proofErr w:type="spellStart"/>
            <w:r w:rsidRPr="000C42F3">
              <w:rPr>
                <w:rFonts w:ascii="Arial" w:eastAsiaTheme="minorEastAsia" w:hAnsi="Arial" w:cs="Arial"/>
                <w:kern w:val="24"/>
                <w:lang w:val="en-ZA"/>
              </w:rPr>
              <w:t>Kgodiso</w:t>
            </w:r>
            <w:proofErr w:type="spellEnd"/>
          </w:p>
        </w:tc>
        <w:tc>
          <w:tcPr>
            <w:tcW w:w="1276"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kern w:val="24"/>
                <w:lang w:val="en-ZA"/>
              </w:rPr>
              <w:t>1 145</w:t>
            </w:r>
          </w:p>
        </w:tc>
        <w:tc>
          <w:tcPr>
            <w:tcW w:w="1417"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kern w:val="24"/>
                <w:lang w:val="en-US"/>
              </w:rPr>
              <w:t>957</w:t>
            </w:r>
          </w:p>
        </w:tc>
        <w:tc>
          <w:tcPr>
            <w:tcW w:w="1559"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kern w:val="24"/>
                <w:lang w:val="en-ZA"/>
              </w:rPr>
              <w:t>188</w:t>
            </w:r>
          </w:p>
        </w:tc>
        <w:tc>
          <w:tcPr>
            <w:tcW w:w="1418" w:type="dxa"/>
            <w:hideMark/>
          </w:tcPr>
          <w:p w:rsidR="009F28E4" w:rsidRPr="000C42F3" w:rsidRDefault="009F28E4" w:rsidP="00F77619">
            <w:pPr>
              <w:spacing w:before="60" w:after="60" w:line="240" w:lineRule="auto"/>
              <w:jc w:val="center"/>
              <w:textAlignment w:val="bottom"/>
              <w:rPr>
                <w:rFonts w:ascii="Arial" w:hAnsi="Arial" w:cs="Arial"/>
                <w:lang w:val="en-US"/>
              </w:rPr>
            </w:pPr>
            <w:r w:rsidRPr="000C42F3">
              <w:rPr>
                <w:rFonts w:ascii="Arial" w:hAnsi="Arial" w:cs="Arial"/>
                <w:kern w:val="24"/>
                <w:lang w:val="en-ZA"/>
              </w:rPr>
              <w:t>84%</w:t>
            </w:r>
          </w:p>
        </w:tc>
      </w:tr>
      <w:tr w:rsidR="009F28E4" w:rsidRPr="000C42F3" w:rsidTr="00F77619">
        <w:trPr>
          <w:trHeight w:val="20"/>
        </w:trPr>
        <w:tc>
          <w:tcPr>
            <w:tcW w:w="3119" w:type="dxa"/>
            <w:hideMark/>
          </w:tcPr>
          <w:p w:rsidR="009F28E4" w:rsidRPr="000C42F3" w:rsidRDefault="009F28E4" w:rsidP="00F77619">
            <w:pPr>
              <w:spacing w:before="60" w:after="60" w:line="240" w:lineRule="auto"/>
              <w:textAlignment w:val="bottom"/>
              <w:rPr>
                <w:rFonts w:ascii="Arial" w:hAnsi="Arial" w:cs="Arial"/>
                <w:lang w:val="en-US"/>
              </w:rPr>
            </w:pPr>
            <w:r w:rsidRPr="000C42F3">
              <w:rPr>
                <w:rFonts w:ascii="Arial" w:hAnsi="Arial" w:cs="Arial"/>
                <w:b/>
                <w:bCs/>
                <w:kern w:val="24"/>
                <w:lang w:val="en-ZA"/>
              </w:rPr>
              <w:t>DHET General and Other</w:t>
            </w:r>
          </w:p>
        </w:tc>
        <w:tc>
          <w:tcPr>
            <w:tcW w:w="1276"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b/>
                <w:bCs/>
                <w:kern w:val="24"/>
                <w:lang w:val="en-US"/>
              </w:rPr>
              <w:t>4 656</w:t>
            </w:r>
          </w:p>
        </w:tc>
        <w:tc>
          <w:tcPr>
            <w:tcW w:w="1417"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b/>
                <w:bCs/>
                <w:kern w:val="24"/>
                <w:lang w:val="en-US"/>
              </w:rPr>
              <w:t>4 542</w:t>
            </w:r>
          </w:p>
        </w:tc>
        <w:tc>
          <w:tcPr>
            <w:tcW w:w="1559"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b/>
                <w:bCs/>
                <w:kern w:val="24"/>
                <w:lang w:val="en-ZA"/>
              </w:rPr>
              <w:t>114</w:t>
            </w:r>
          </w:p>
        </w:tc>
        <w:tc>
          <w:tcPr>
            <w:tcW w:w="1418" w:type="dxa"/>
            <w:hideMark/>
          </w:tcPr>
          <w:p w:rsidR="009F28E4" w:rsidRPr="000C42F3" w:rsidRDefault="009F28E4" w:rsidP="00F77619">
            <w:pPr>
              <w:spacing w:before="60" w:after="60" w:line="240" w:lineRule="auto"/>
              <w:jc w:val="center"/>
              <w:textAlignment w:val="bottom"/>
              <w:rPr>
                <w:rFonts w:ascii="Arial" w:hAnsi="Arial" w:cs="Arial"/>
                <w:lang w:val="en-US"/>
              </w:rPr>
            </w:pPr>
            <w:r w:rsidRPr="000C42F3">
              <w:rPr>
                <w:rFonts w:ascii="Arial" w:hAnsi="Arial" w:cs="Arial"/>
                <w:b/>
                <w:bCs/>
                <w:kern w:val="24"/>
                <w:lang w:val="en-ZA"/>
              </w:rPr>
              <w:t>97%</w:t>
            </w:r>
          </w:p>
        </w:tc>
      </w:tr>
      <w:tr w:rsidR="009F28E4" w:rsidRPr="000C42F3" w:rsidTr="00F77619">
        <w:trPr>
          <w:trHeight w:val="20"/>
        </w:trPr>
        <w:tc>
          <w:tcPr>
            <w:tcW w:w="3119" w:type="dxa"/>
            <w:hideMark/>
          </w:tcPr>
          <w:p w:rsidR="009F28E4" w:rsidRPr="000C42F3" w:rsidRDefault="009F28E4" w:rsidP="00F77619">
            <w:pPr>
              <w:spacing w:before="60" w:after="60" w:line="240" w:lineRule="auto"/>
              <w:textAlignment w:val="bottom"/>
              <w:rPr>
                <w:rFonts w:ascii="Arial" w:hAnsi="Arial" w:cs="Arial"/>
                <w:lang w:val="en-US"/>
              </w:rPr>
            </w:pPr>
            <w:r w:rsidRPr="000C42F3">
              <w:rPr>
                <w:rFonts w:ascii="Arial" w:hAnsi="Arial" w:cs="Arial"/>
                <w:b/>
                <w:bCs/>
                <w:kern w:val="24"/>
                <w:lang w:val="en-ZA"/>
              </w:rPr>
              <w:t>TVETs</w:t>
            </w:r>
          </w:p>
        </w:tc>
        <w:tc>
          <w:tcPr>
            <w:tcW w:w="1276"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b/>
                <w:bCs/>
                <w:kern w:val="24"/>
                <w:lang w:val="en-ZA"/>
              </w:rPr>
              <w:t>2 434</w:t>
            </w:r>
          </w:p>
        </w:tc>
        <w:tc>
          <w:tcPr>
            <w:tcW w:w="1417"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b/>
                <w:bCs/>
                <w:kern w:val="24"/>
                <w:lang w:val="en-US"/>
              </w:rPr>
              <w:t>2 109</w:t>
            </w:r>
          </w:p>
        </w:tc>
        <w:tc>
          <w:tcPr>
            <w:tcW w:w="1559"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b/>
                <w:bCs/>
                <w:kern w:val="24"/>
                <w:lang w:val="en-ZA"/>
              </w:rPr>
              <w:t>325</w:t>
            </w:r>
          </w:p>
        </w:tc>
        <w:tc>
          <w:tcPr>
            <w:tcW w:w="1418" w:type="dxa"/>
            <w:hideMark/>
          </w:tcPr>
          <w:p w:rsidR="009F28E4" w:rsidRPr="000C42F3" w:rsidRDefault="009F28E4" w:rsidP="00F77619">
            <w:pPr>
              <w:spacing w:before="60" w:after="60" w:line="240" w:lineRule="auto"/>
              <w:jc w:val="center"/>
              <w:textAlignment w:val="bottom"/>
              <w:rPr>
                <w:rFonts w:ascii="Arial" w:hAnsi="Arial" w:cs="Arial"/>
                <w:lang w:val="en-US"/>
              </w:rPr>
            </w:pPr>
            <w:r w:rsidRPr="000C42F3">
              <w:rPr>
                <w:rFonts w:ascii="Arial" w:hAnsi="Arial" w:cs="Arial"/>
                <w:b/>
                <w:bCs/>
                <w:kern w:val="24"/>
                <w:lang w:val="en-ZA"/>
              </w:rPr>
              <w:t>87%</w:t>
            </w:r>
          </w:p>
        </w:tc>
      </w:tr>
      <w:tr w:rsidR="009F28E4" w:rsidRPr="000C42F3" w:rsidTr="00F77619">
        <w:trPr>
          <w:trHeight w:val="20"/>
        </w:trPr>
        <w:tc>
          <w:tcPr>
            <w:tcW w:w="3119" w:type="dxa"/>
            <w:hideMark/>
          </w:tcPr>
          <w:p w:rsidR="009F28E4" w:rsidRPr="000C42F3" w:rsidRDefault="009F28E4" w:rsidP="00F77619">
            <w:pPr>
              <w:spacing w:before="60" w:after="60" w:line="240" w:lineRule="auto"/>
              <w:textAlignment w:val="bottom"/>
              <w:rPr>
                <w:rFonts w:ascii="Arial" w:hAnsi="Arial" w:cs="Arial"/>
                <w:lang w:val="en-US"/>
              </w:rPr>
            </w:pPr>
            <w:r w:rsidRPr="000C42F3">
              <w:rPr>
                <w:rFonts w:ascii="Arial" w:hAnsi="Arial" w:cs="Arial"/>
                <w:b/>
                <w:bCs/>
                <w:kern w:val="24"/>
                <w:lang w:val="en-ZA"/>
              </w:rPr>
              <w:t>Other funders</w:t>
            </w:r>
          </w:p>
        </w:tc>
        <w:tc>
          <w:tcPr>
            <w:tcW w:w="1276"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b/>
                <w:bCs/>
                <w:kern w:val="24"/>
                <w:lang w:val="en-ZA"/>
              </w:rPr>
              <w:t>2 449</w:t>
            </w:r>
          </w:p>
        </w:tc>
        <w:tc>
          <w:tcPr>
            <w:tcW w:w="1417"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b/>
                <w:bCs/>
                <w:kern w:val="24"/>
                <w:lang w:val="en-ZA"/>
              </w:rPr>
              <w:t>1,732</w:t>
            </w:r>
          </w:p>
        </w:tc>
        <w:tc>
          <w:tcPr>
            <w:tcW w:w="1559"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b/>
                <w:bCs/>
                <w:kern w:val="24"/>
                <w:lang w:val="en-ZA"/>
              </w:rPr>
              <w:t>717</w:t>
            </w:r>
          </w:p>
        </w:tc>
        <w:tc>
          <w:tcPr>
            <w:tcW w:w="1418" w:type="dxa"/>
            <w:hideMark/>
          </w:tcPr>
          <w:p w:rsidR="009F28E4" w:rsidRPr="000C42F3" w:rsidRDefault="009F28E4" w:rsidP="00F77619">
            <w:pPr>
              <w:spacing w:before="60" w:after="60" w:line="240" w:lineRule="auto"/>
              <w:jc w:val="center"/>
              <w:textAlignment w:val="bottom"/>
              <w:rPr>
                <w:rFonts w:ascii="Arial" w:hAnsi="Arial" w:cs="Arial"/>
                <w:lang w:val="en-US"/>
              </w:rPr>
            </w:pPr>
            <w:r w:rsidRPr="000C42F3">
              <w:rPr>
                <w:rFonts w:ascii="Arial" w:hAnsi="Arial" w:cs="Arial"/>
                <w:b/>
                <w:bCs/>
                <w:kern w:val="24"/>
                <w:lang w:val="en-ZA"/>
              </w:rPr>
              <w:t>71%</w:t>
            </w:r>
          </w:p>
        </w:tc>
      </w:tr>
      <w:tr w:rsidR="009F28E4" w:rsidRPr="000C42F3" w:rsidTr="00F77619">
        <w:trPr>
          <w:trHeight w:val="20"/>
        </w:trPr>
        <w:tc>
          <w:tcPr>
            <w:tcW w:w="3119" w:type="dxa"/>
            <w:hideMark/>
          </w:tcPr>
          <w:p w:rsidR="009F28E4" w:rsidRPr="000C42F3" w:rsidRDefault="009F28E4" w:rsidP="00F77619">
            <w:pPr>
              <w:spacing w:before="60" w:after="60" w:line="240" w:lineRule="auto"/>
              <w:textAlignment w:val="bottom"/>
              <w:rPr>
                <w:rFonts w:ascii="Arial" w:hAnsi="Arial" w:cs="Arial"/>
                <w:lang w:val="en-US"/>
              </w:rPr>
            </w:pPr>
            <w:r w:rsidRPr="000C42F3">
              <w:rPr>
                <w:rFonts w:ascii="Arial" w:hAnsi="Arial" w:cs="Arial"/>
                <w:b/>
                <w:bCs/>
                <w:kern w:val="24"/>
                <w:lang w:val="en-ZA"/>
              </w:rPr>
              <w:t>Total</w:t>
            </w:r>
          </w:p>
        </w:tc>
        <w:tc>
          <w:tcPr>
            <w:tcW w:w="1276"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b/>
                <w:bCs/>
                <w:kern w:val="24"/>
                <w:lang w:val="en-ZA"/>
              </w:rPr>
              <w:t xml:space="preserve"> 14,120</w:t>
            </w:r>
          </w:p>
        </w:tc>
        <w:tc>
          <w:tcPr>
            <w:tcW w:w="1417"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b/>
                <w:bCs/>
                <w:kern w:val="24"/>
                <w:lang w:val="en-US"/>
              </w:rPr>
              <w:t>12,411</w:t>
            </w:r>
          </w:p>
        </w:tc>
        <w:tc>
          <w:tcPr>
            <w:tcW w:w="1559" w:type="dxa"/>
            <w:hideMark/>
          </w:tcPr>
          <w:p w:rsidR="009F28E4" w:rsidRPr="000C42F3" w:rsidRDefault="009F28E4" w:rsidP="00F77619">
            <w:pPr>
              <w:spacing w:before="60" w:after="60" w:line="240" w:lineRule="auto"/>
              <w:jc w:val="right"/>
              <w:textAlignment w:val="bottom"/>
              <w:rPr>
                <w:rFonts w:ascii="Arial" w:hAnsi="Arial" w:cs="Arial"/>
                <w:lang w:val="en-US"/>
              </w:rPr>
            </w:pPr>
            <w:r w:rsidRPr="000C42F3">
              <w:rPr>
                <w:rFonts w:ascii="Arial" w:hAnsi="Arial" w:cs="Arial"/>
                <w:b/>
                <w:bCs/>
                <w:kern w:val="24"/>
                <w:lang w:val="en-ZA"/>
              </w:rPr>
              <w:t>2 577</w:t>
            </w:r>
          </w:p>
        </w:tc>
        <w:tc>
          <w:tcPr>
            <w:tcW w:w="1418" w:type="dxa"/>
            <w:hideMark/>
          </w:tcPr>
          <w:p w:rsidR="009F28E4" w:rsidRPr="000C42F3" w:rsidRDefault="009F28E4" w:rsidP="00F77619">
            <w:pPr>
              <w:spacing w:before="60" w:after="60" w:line="240" w:lineRule="auto"/>
              <w:jc w:val="center"/>
              <w:textAlignment w:val="bottom"/>
              <w:rPr>
                <w:rFonts w:ascii="Arial" w:hAnsi="Arial" w:cs="Arial"/>
                <w:lang w:val="en-US"/>
              </w:rPr>
            </w:pPr>
            <w:r w:rsidRPr="000C42F3">
              <w:rPr>
                <w:rFonts w:ascii="Arial" w:hAnsi="Arial" w:cs="Arial"/>
                <w:b/>
                <w:bCs/>
                <w:kern w:val="24"/>
                <w:lang w:val="en-ZA"/>
              </w:rPr>
              <w:t>87%</w:t>
            </w:r>
          </w:p>
        </w:tc>
      </w:tr>
    </w:tbl>
    <w:p w:rsidR="009F28E4" w:rsidRPr="000C42F3" w:rsidRDefault="009F28E4" w:rsidP="009F28E4">
      <w:pPr>
        <w:pStyle w:val="ListParagraph"/>
        <w:spacing w:before="360" w:after="240" w:line="360" w:lineRule="auto"/>
        <w:ind w:left="851" w:hanging="851"/>
        <w:contextualSpacing w:val="0"/>
        <w:jc w:val="both"/>
        <w:rPr>
          <w:rFonts w:ascii="Arial" w:hAnsi="Arial" w:cs="Arial"/>
          <w:sz w:val="24"/>
          <w:szCs w:val="24"/>
        </w:rPr>
      </w:pPr>
      <w:r w:rsidRPr="000C42F3">
        <w:rPr>
          <w:rFonts w:ascii="Arial" w:hAnsi="Arial" w:cs="Arial"/>
          <w:sz w:val="24"/>
          <w:szCs w:val="24"/>
        </w:rPr>
        <w:t xml:space="preserve">(c) </w:t>
      </w:r>
      <w:r>
        <w:rPr>
          <w:rFonts w:ascii="Arial" w:hAnsi="Arial" w:cs="Arial"/>
          <w:sz w:val="24"/>
          <w:szCs w:val="24"/>
        </w:rPr>
        <w:tab/>
      </w:r>
      <w:r w:rsidRPr="000C42F3">
        <w:rPr>
          <w:rFonts w:ascii="Arial" w:hAnsi="Arial" w:cs="Arial"/>
          <w:sz w:val="24"/>
          <w:szCs w:val="24"/>
        </w:rPr>
        <w:t xml:space="preserve">At an estimated average full cost of study of R49 210 for the 2016/17 </w:t>
      </w:r>
      <w:r>
        <w:rPr>
          <w:rFonts w:ascii="Arial" w:hAnsi="Arial" w:cs="Arial"/>
          <w:sz w:val="24"/>
          <w:szCs w:val="24"/>
        </w:rPr>
        <w:t>financial</w:t>
      </w:r>
      <w:r w:rsidRPr="000C42F3">
        <w:rPr>
          <w:rFonts w:ascii="Arial" w:hAnsi="Arial" w:cs="Arial"/>
          <w:sz w:val="24"/>
          <w:szCs w:val="24"/>
        </w:rPr>
        <w:t xml:space="preserve"> year, the under-utilisation </w:t>
      </w:r>
      <w:r>
        <w:rPr>
          <w:rFonts w:ascii="Arial" w:hAnsi="Arial" w:cs="Arial"/>
          <w:sz w:val="24"/>
          <w:szCs w:val="24"/>
        </w:rPr>
        <w:t>of R 2.</w:t>
      </w:r>
      <w:r w:rsidRPr="000C42F3">
        <w:rPr>
          <w:rFonts w:ascii="Arial" w:hAnsi="Arial" w:cs="Arial"/>
          <w:sz w:val="24"/>
          <w:szCs w:val="24"/>
        </w:rPr>
        <w:t>252 billion</w:t>
      </w:r>
      <w:r w:rsidRPr="00ED17E7">
        <w:rPr>
          <w:rFonts w:ascii="Arial" w:hAnsi="Arial" w:cs="Arial"/>
          <w:sz w:val="24"/>
          <w:szCs w:val="24"/>
        </w:rPr>
        <w:t xml:space="preserve"> </w:t>
      </w:r>
      <w:r w:rsidRPr="000C42F3">
        <w:rPr>
          <w:rFonts w:ascii="Arial" w:hAnsi="Arial" w:cs="Arial"/>
          <w:sz w:val="24"/>
          <w:szCs w:val="24"/>
        </w:rPr>
        <w:t xml:space="preserve">amounts to approximately 45 760 students. At an estimated average full cost of study </w:t>
      </w:r>
      <w:r>
        <w:rPr>
          <w:rFonts w:ascii="Arial" w:hAnsi="Arial" w:cs="Arial"/>
          <w:sz w:val="24"/>
          <w:szCs w:val="24"/>
        </w:rPr>
        <w:t>of</w:t>
      </w:r>
      <w:r w:rsidRPr="000C42F3">
        <w:rPr>
          <w:rFonts w:ascii="Arial" w:hAnsi="Arial" w:cs="Arial"/>
          <w:sz w:val="24"/>
          <w:szCs w:val="24"/>
        </w:rPr>
        <w:t xml:space="preserve"> R8 660 for the TVET </w:t>
      </w:r>
      <w:r w:rsidRPr="000C42F3">
        <w:rPr>
          <w:rFonts w:ascii="Arial" w:hAnsi="Arial" w:cs="Arial"/>
          <w:sz w:val="24"/>
          <w:szCs w:val="24"/>
        </w:rPr>
        <w:lastRenderedPageBreak/>
        <w:t>college funding, the under-utilisation of R325</w:t>
      </w:r>
      <w:r>
        <w:rPr>
          <w:rFonts w:ascii="Arial" w:hAnsi="Arial" w:cs="Arial"/>
          <w:sz w:val="24"/>
          <w:szCs w:val="24"/>
        </w:rPr>
        <w:t xml:space="preserve"> </w:t>
      </w:r>
      <w:r w:rsidRPr="000C42F3">
        <w:rPr>
          <w:rFonts w:ascii="Arial" w:hAnsi="Arial" w:cs="Arial"/>
          <w:sz w:val="24"/>
          <w:szCs w:val="24"/>
        </w:rPr>
        <w:t>m</w:t>
      </w:r>
      <w:r>
        <w:rPr>
          <w:rFonts w:ascii="Arial" w:hAnsi="Arial" w:cs="Arial"/>
          <w:sz w:val="24"/>
          <w:szCs w:val="24"/>
        </w:rPr>
        <w:t>illion</w:t>
      </w:r>
      <w:r w:rsidRPr="000C42F3">
        <w:rPr>
          <w:rFonts w:ascii="Arial" w:hAnsi="Arial" w:cs="Arial"/>
          <w:sz w:val="24"/>
          <w:szCs w:val="24"/>
        </w:rPr>
        <w:t xml:space="preserve"> amounts to approximately 37 520 students.</w:t>
      </w:r>
    </w:p>
    <w:p w:rsidR="009F28E4" w:rsidRPr="000C42F3" w:rsidRDefault="009F28E4" w:rsidP="009F28E4">
      <w:pPr>
        <w:pStyle w:val="ListParagraph"/>
        <w:numPr>
          <w:ilvl w:val="0"/>
          <w:numId w:val="20"/>
        </w:numPr>
        <w:spacing w:after="240" w:line="360" w:lineRule="auto"/>
        <w:ind w:left="851" w:hanging="851"/>
        <w:contextualSpacing w:val="0"/>
        <w:jc w:val="both"/>
        <w:rPr>
          <w:rFonts w:ascii="Arial" w:hAnsi="Arial" w:cs="Arial"/>
          <w:sz w:val="24"/>
          <w:szCs w:val="24"/>
        </w:rPr>
      </w:pPr>
      <w:r w:rsidRPr="000C42F3">
        <w:rPr>
          <w:rFonts w:ascii="Arial" w:hAnsi="Arial" w:cs="Arial"/>
          <w:sz w:val="24"/>
          <w:szCs w:val="24"/>
        </w:rPr>
        <w:t>It should be noted that the R29 billion is not the impairment value, but the gross carrying amount of the student loan book before impairment. The gross carrying amount increased from R24 billion in the prior year. Valuation adjustments were R16.9 billion compared to R14.9 billion in the prior year.</w:t>
      </w:r>
    </w:p>
    <w:p w:rsidR="009F28E4" w:rsidRPr="000C42F3" w:rsidRDefault="009F28E4" w:rsidP="009F28E4">
      <w:pPr>
        <w:pStyle w:val="ListParagraph"/>
        <w:spacing w:after="240" w:line="360" w:lineRule="auto"/>
        <w:ind w:left="851"/>
        <w:contextualSpacing w:val="0"/>
        <w:jc w:val="both"/>
        <w:rPr>
          <w:rFonts w:ascii="Arial" w:hAnsi="Arial" w:cs="Arial"/>
          <w:sz w:val="24"/>
          <w:szCs w:val="24"/>
        </w:rPr>
      </w:pPr>
      <w:r w:rsidRPr="000C42F3">
        <w:rPr>
          <w:rFonts w:ascii="Arial" w:hAnsi="Arial" w:cs="Arial"/>
          <w:sz w:val="24"/>
          <w:szCs w:val="24"/>
        </w:rPr>
        <w:t>NSFAS met its collections target during the 2016/17 financial year, accordingly there was no impairment loss rec</w:t>
      </w:r>
      <w:r>
        <w:rPr>
          <w:rFonts w:ascii="Arial" w:hAnsi="Arial" w:cs="Arial"/>
          <w:sz w:val="24"/>
          <w:szCs w:val="24"/>
        </w:rPr>
        <w:t>orded in the 2016/17 financial year</w:t>
      </w:r>
      <w:r w:rsidRPr="000C42F3">
        <w:rPr>
          <w:rFonts w:ascii="Arial" w:hAnsi="Arial" w:cs="Arial"/>
          <w:sz w:val="24"/>
          <w:szCs w:val="24"/>
        </w:rPr>
        <w:t xml:space="preserve">. The valuation adjustments referred to above reflect what is called the “social benefit component” of the </w:t>
      </w:r>
      <w:r>
        <w:rPr>
          <w:rFonts w:ascii="Arial" w:hAnsi="Arial" w:cs="Arial"/>
          <w:sz w:val="24"/>
          <w:szCs w:val="24"/>
        </w:rPr>
        <w:t xml:space="preserve">NSFAS loans. It </w:t>
      </w:r>
      <w:r w:rsidRPr="000C42F3">
        <w:rPr>
          <w:rFonts w:ascii="Arial" w:hAnsi="Arial" w:cs="Arial"/>
          <w:sz w:val="24"/>
          <w:szCs w:val="24"/>
        </w:rPr>
        <w:t xml:space="preserve">is effectively the value discounted on the loans through the offering of an interest holiday, the </w:t>
      </w:r>
      <w:r>
        <w:rPr>
          <w:rFonts w:ascii="Arial" w:hAnsi="Arial" w:cs="Arial"/>
          <w:sz w:val="24"/>
          <w:szCs w:val="24"/>
        </w:rPr>
        <w:t>concessionary interest rate and</w:t>
      </w:r>
      <w:r w:rsidRPr="000C42F3">
        <w:rPr>
          <w:rFonts w:ascii="Arial" w:hAnsi="Arial" w:cs="Arial"/>
          <w:sz w:val="24"/>
          <w:szCs w:val="24"/>
        </w:rPr>
        <w:t xml:space="preserve"> flexible repayment terms.</w:t>
      </w:r>
    </w:p>
    <w:p w:rsidR="009F28E4" w:rsidRPr="000C42F3" w:rsidRDefault="009F28E4" w:rsidP="009F28E4">
      <w:pPr>
        <w:pStyle w:val="ListParagraph"/>
        <w:numPr>
          <w:ilvl w:val="0"/>
          <w:numId w:val="20"/>
        </w:numPr>
        <w:tabs>
          <w:tab w:val="left" w:pos="426"/>
        </w:tabs>
        <w:spacing w:after="240" w:line="360" w:lineRule="auto"/>
        <w:ind w:left="851" w:hanging="851"/>
        <w:contextualSpacing w:val="0"/>
        <w:jc w:val="both"/>
        <w:rPr>
          <w:rFonts w:ascii="Arial" w:hAnsi="Arial" w:cs="Arial"/>
          <w:sz w:val="24"/>
          <w:szCs w:val="24"/>
        </w:rPr>
      </w:pPr>
      <w:r w:rsidRPr="000C42F3">
        <w:rPr>
          <w:rFonts w:ascii="Arial" w:hAnsi="Arial" w:cs="Arial"/>
          <w:sz w:val="24"/>
          <w:szCs w:val="24"/>
        </w:rPr>
        <w:t xml:space="preserve">(a) </w:t>
      </w:r>
      <w:r>
        <w:rPr>
          <w:rFonts w:ascii="Arial" w:hAnsi="Arial" w:cs="Arial"/>
          <w:sz w:val="24"/>
          <w:szCs w:val="24"/>
        </w:rPr>
        <w:tab/>
      </w:r>
      <w:r w:rsidRPr="000C42F3">
        <w:rPr>
          <w:rFonts w:ascii="Arial" w:hAnsi="Arial" w:cs="Arial"/>
          <w:sz w:val="24"/>
          <w:szCs w:val="24"/>
        </w:rPr>
        <w:t xml:space="preserve">NSFAS’s financial year starts </w:t>
      </w:r>
      <w:r>
        <w:rPr>
          <w:rFonts w:ascii="Arial" w:hAnsi="Arial" w:cs="Arial"/>
          <w:sz w:val="24"/>
          <w:szCs w:val="24"/>
        </w:rPr>
        <w:t xml:space="preserve">on </w:t>
      </w:r>
      <w:r w:rsidRPr="000C42F3">
        <w:rPr>
          <w:rFonts w:ascii="Arial" w:hAnsi="Arial" w:cs="Arial"/>
          <w:sz w:val="24"/>
          <w:szCs w:val="24"/>
        </w:rPr>
        <w:t xml:space="preserve">1 April and this is when the first tranche of funding is received from </w:t>
      </w:r>
      <w:r>
        <w:rPr>
          <w:rFonts w:ascii="Arial" w:hAnsi="Arial" w:cs="Arial"/>
          <w:sz w:val="24"/>
          <w:szCs w:val="24"/>
        </w:rPr>
        <w:t>the Department</w:t>
      </w:r>
      <w:r w:rsidRPr="000C42F3">
        <w:rPr>
          <w:rFonts w:ascii="Arial" w:hAnsi="Arial" w:cs="Arial"/>
          <w:sz w:val="24"/>
          <w:szCs w:val="24"/>
        </w:rPr>
        <w:t xml:space="preserve">. However, institutions start their academic year in January. NSFAS has therefore, for the last few years, made upfront payments to institutions between January and March, out of its own reserves (recoveries and interest income) before it receives its first tranche from the </w:t>
      </w:r>
      <w:r>
        <w:rPr>
          <w:rFonts w:ascii="Arial" w:hAnsi="Arial" w:cs="Arial"/>
          <w:sz w:val="24"/>
          <w:szCs w:val="24"/>
        </w:rPr>
        <w:t>Department</w:t>
      </w:r>
      <w:r w:rsidRPr="000C42F3">
        <w:rPr>
          <w:rFonts w:ascii="Arial" w:hAnsi="Arial" w:cs="Arial"/>
          <w:sz w:val="24"/>
          <w:szCs w:val="24"/>
        </w:rPr>
        <w:t xml:space="preserve">. The upfront payments allow NSFAS students to enrol without paying registration fees and </w:t>
      </w:r>
      <w:r>
        <w:rPr>
          <w:rFonts w:ascii="Arial" w:hAnsi="Arial" w:cs="Arial"/>
          <w:sz w:val="24"/>
          <w:szCs w:val="24"/>
        </w:rPr>
        <w:t xml:space="preserve">to </w:t>
      </w:r>
      <w:r w:rsidRPr="000C42F3">
        <w:rPr>
          <w:rFonts w:ascii="Arial" w:hAnsi="Arial" w:cs="Arial"/>
          <w:sz w:val="24"/>
          <w:szCs w:val="24"/>
        </w:rPr>
        <w:t xml:space="preserve">assist institutions with their cash flow. </w:t>
      </w:r>
    </w:p>
    <w:p w:rsidR="009F28E4" w:rsidRPr="000C42F3" w:rsidRDefault="009F28E4" w:rsidP="009F28E4">
      <w:pPr>
        <w:pStyle w:val="ListParagraph"/>
        <w:tabs>
          <w:tab w:val="left" w:pos="426"/>
        </w:tabs>
        <w:spacing w:after="240" w:line="360" w:lineRule="auto"/>
        <w:ind w:left="851" w:hanging="851"/>
        <w:contextualSpacing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0C42F3">
        <w:rPr>
          <w:rFonts w:ascii="Arial" w:hAnsi="Arial" w:cs="Arial"/>
          <w:sz w:val="24"/>
          <w:szCs w:val="24"/>
        </w:rPr>
        <w:t>There has been a significant increase in allocations to NSFAS during the 2015 and 2016 academic years. This meant that the commitment to pay 30% of the allocations as upfront payment</w:t>
      </w:r>
      <w:r>
        <w:rPr>
          <w:rFonts w:ascii="Arial" w:hAnsi="Arial" w:cs="Arial"/>
          <w:sz w:val="24"/>
          <w:szCs w:val="24"/>
        </w:rPr>
        <w:t>s</w:t>
      </w:r>
      <w:r w:rsidRPr="000C42F3">
        <w:rPr>
          <w:rFonts w:ascii="Arial" w:hAnsi="Arial" w:cs="Arial"/>
          <w:sz w:val="24"/>
          <w:szCs w:val="24"/>
        </w:rPr>
        <w:t xml:space="preserve"> could no longer be funded from current reserves. NSFAS paid an initial 15% of the allocation to institutions on 16 Januar</w:t>
      </w:r>
      <w:r>
        <w:rPr>
          <w:rFonts w:ascii="Arial" w:hAnsi="Arial" w:cs="Arial"/>
          <w:sz w:val="24"/>
          <w:szCs w:val="24"/>
        </w:rPr>
        <w:t xml:space="preserve">y 2017 </w:t>
      </w:r>
      <w:r w:rsidRPr="000C42F3">
        <w:rPr>
          <w:rFonts w:ascii="Arial" w:hAnsi="Arial" w:cs="Arial"/>
          <w:sz w:val="24"/>
          <w:szCs w:val="24"/>
        </w:rPr>
        <w:t>and then a further 15</w:t>
      </w:r>
      <w:r>
        <w:rPr>
          <w:rFonts w:ascii="Arial" w:hAnsi="Arial" w:cs="Arial"/>
          <w:sz w:val="24"/>
          <w:szCs w:val="24"/>
        </w:rPr>
        <w:t>% upfront payment in April 2017</w:t>
      </w:r>
      <w:r w:rsidRPr="000C42F3">
        <w:rPr>
          <w:rFonts w:ascii="Arial" w:hAnsi="Arial" w:cs="Arial"/>
          <w:sz w:val="24"/>
          <w:szCs w:val="24"/>
        </w:rPr>
        <w:t xml:space="preserve">, as soon as the first tranche of funding had been received from </w:t>
      </w:r>
      <w:r>
        <w:rPr>
          <w:rFonts w:ascii="Arial" w:hAnsi="Arial" w:cs="Arial"/>
          <w:sz w:val="24"/>
          <w:szCs w:val="24"/>
        </w:rPr>
        <w:t>the Department</w:t>
      </w:r>
      <w:r w:rsidRPr="000C42F3">
        <w:rPr>
          <w:rFonts w:ascii="Arial" w:hAnsi="Arial" w:cs="Arial"/>
          <w:sz w:val="24"/>
          <w:szCs w:val="24"/>
        </w:rPr>
        <w:t>.</w:t>
      </w:r>
    </w:p>
    <w:p w:rsidR="009F28E4" w:rsidRPr="00320495" w:rsidRDefault="009F28E4" w:rsidP="00320495">
      <w:pPr>
        <w:pStyle w:val="ListParagraph"/>
        <w:tabs>
          <w:tab w:val="left" w:pos="426"/>
        </w:tabs>
        <w:spacing w:after="240" w:line="360" w:lineRule="auto"/>
        <w:ind w:left="851" w:hanging="851"/>
        <w:contextualSpacing w:val="0"/>
        <w:jc w:val="both"/>
        <w:rPr>
          <w:rFonts w:ascii="Arial" w:hAnsi="Arial" w:cs="Arial"/>
          <w:sz w:val="24"/>
          <w:szCs w:val="24"/>
        </w:rPr>
      </w:pPr>
      <w:r>
        <w:rPr>
          <w:rFonts w:ascii="Arial" w:hAnsi="Arial" w:cs="Arial"/>
          <w:sz w:val="24"/>
          <w:szCs w:val="24"/>
        </w:rPr>
        <w:tab/>
      </w:r>
      <w:r w:rsidRPr="000C42F3">
        <w:rPr>
          <w:rFonts w:ascii="Arial" w:hAnsi="Arial" w:cs="Arial"/>
          <w:sz w:val="24"/>
          <w:szCs w:val="24"/>
        </w:rPr>
        <w:t xml:space="preserve">(b) </w:t>
      </w:r>
      <w:r>
        <w:rPr>
          <w:rFonts w:ascii="Arial" w:hAnsi="Arial" w:cs="Arial"/>
          <w:sz w:val="24"/>
          <w:szCs w:val="24"/>
        </w:rPr>
        <w:t xml:space="preserve"> </w:t>
      </w:r>
      <w:r w:rsidRPr="000C42F3">
        <w:rPr>
          <w:rFonts w:ascii="Arial" w:hAnsi="Arial" w:cs="Arial"/>
          <w:sz w:val="24"/>
          <w:szCs w:val="24"/>
        </w:rPr>
        <w:t>Assurances were made to universities that the upfront payments would be paid, and further to the commitme</w:t>
      </w:r>
      <w:r>
        <w:rPr>
          <w:rFonts w:ascii="Arial" w:hAnsi="Arial" w:cs="Arial"/>
          <w:sz w:val="24"/>
          <w:szCs w:val="24"/>
        </w:rPr>
        <w:t xml:space="preserve">nt made by the Minister and </w:t>
      </w:r>
      <w:r w:rsidRPr="000C42F3">
        <w:rPr>
          <w:rFonts w:ascii="Arial" w:hAnsi="Arial" w:cs="Arial"/>
          <w:sz w:val="24"/>
          <w:szCs w:val="24"/>
        </w:rPr>
        <w:t xml:space="preserve">NSFAS Chairperson, </w:t>
      </w:r>
      <w:r w:rsidRPr="000C42F3">
        <w:rPr>
          <w:rFonts w:ascii="Arial" w:hAnsi="Arial" w:cs="Arial"/>
          <w:sz w:val="24"/>
          <w:szCs w:val="24"/>
        </w:rPr>
        <w:lastRenderedPageBreak/>
        <w:t xml:space="preserve">students that were provisionally funded by NSFAS were not required to make registration deposits as these were offset by the upfront payments.  </w:t>
      </w:r>
      <w:bookmarkStart w:id="0" w:name="_GoBack"/>
      <w:bookmarkEnd w:id="0"/>
    </w:p>
    <w:p w:rsidR="009F28E4" w:rsidRPr="004824E8" w:rsidRDefault="009F28E4" w:rsidP="009F28E4">
      <w:pPr>
        <w:pStyle w:val="ListParagraph"/>
        <w:tabs>
          <w:tab w:val="left" w:pos="426"/>
        </w:tabs>
        <w:spacing w:after="240" w:line="360" w:lineRule="auto"/>
        <w:ind w:left="851" w:hanging="851"/>
        <w:contextualSpacing w:val="0"/>
        <w:jc w:val="both"/>
        <w:rPr>
          <w:rFonts w:ascii="Arial" w:hAnsi="Arial" w:cs="Arial"/>
          <w:sz w:val="24"/>
          <w:szCs w:val="24"/>
        </w:rPr>
      </w:pPr>
      <w:r>
        <w:rPr>
          <w:rFonts w:ascii="Arial" w:hAnsi="Arial" w:cs="Arial"/>
          <w:sz w:val="24"/>
          <w:szCs w:val="24"/>
        </w:rPr>
        <w:tab/>
      </w:r>
      <w:r w:rsidRPr="000C42F3">
        <w:rPr>
          <w:rFonts w:ascii="Arial" w:hAnsi="Arial" w:cs="Arial"/>
          <w:sz w:val="24"/>
          <w:szCs w:val="24"/>
        </w:rPr>
        <w:t xml:space="preserve">(c) </w:t>
      </w:r>
      <w:r>
        <w:rPr>
          <w:rFonts w:ascii="Arial" w:hAnsi="Arial" w:cs="Arial"/>
          <w:sz w:val="24"/>
          <w:szCs w:val="24"/>
        </w:rPr>
        <w:tab/>
      </w:r>
      <w:r w:rsidRPr="000C42F3">
        <w:rPr>
          <w:rFonts w:ascii="Arial" w:hAnsi="Arial" w:cs="Arial"/>
          <w:sz w:val="24"/>
          <w:szCs w:val="24"/>
        </w:rPr>
        <w:t xml:space="preserve">NSFAS is working hard on increasing the revenue from the recoveries in the 2017/18 financial year. These recoveries will then be used to make the upfront </w:t>
      </w:r>
      <w:r w:rsidRPr="004824E8">
        <w:rPr>
          <w:rFonts w:ascii="Arial" w:hAnsi="Arial" w:cs="Arial"/>
          <w:sz w:val="24"/>
          <w:szCs w:val="24"/>
        </w:rPr>
        <w:t xml:space="preserve">payments in the 2018 academic year.  </w:t>
      </w:r>
    </w:p>
    <w:p w:rsidR="009F28E4" w:rsidRPr="004824E8" w:rsidRDefault="009F28E4" w:rsidP="009F28E4">
      <w:pPr>
        <w:pStyle w:val="ListParagraph"/>
        <w:numPr>
          <w:ilvl w:val="0"/>
          <w:numId w:val="20"/>
        </w:numPr>
        <w:tabs>
          <w:tab w:val="left" w:pos="426"/>
        </w:tabs>
        <w:spacing w:after="0" w:line="360" w:lineRule="auto"/>
        <w:ind w:left="851" w:hanging="851"/>
        <w:contextualSpacing w:val="0"/>
        <w:jc w:val="both"/>
        <w:rPr>
          <w:rFonts w:ascii="Arial" w:hAnsi="Arial" w:cs="Arial"/>
          <w:sz w:val="24"/>
          <w:szCs w:val="24"/>
        </w:rPr>
      </w:pPr>
      <w:r w:rsidRPr="004824E8">
        <w:rPr>
          <w:rFonts w:ascii="Arial" w:hAnsi="Arial" w:cs="Arial"/>
          <w:sz w:val="24"/>
          <w:szCs w:val="24"/>
        </w:rPr>
        <w:t xml:space="preserve">(a) </w:t>
      </w:r>
      <w:r>
        <w:rPr>
          <w:rFonts w:ascii="Arial" w:hAnsi="Arial" w:cs="Arial"/>
          <w:sz w:val="24"/>
          <w:szCs w:val="24"/>
        </w:rPr>
        <w:tab/>
      </w:r>
      <w:r w:rsidRPr="004824E8">
        <w:rPr>
          <w:rFonts w:ascii="Arial" w:hAnsi="Arial" w:cs="Arial"/>
          <w:sz w:val="24"/>
          <w:szCs w:val="24"/>
        </w:rPr>
        <w:t xml:space="preserve">Of the NSFAS students who signed their Loan Agreement Form (LAF) or Schedule of Particulars (SOP) and who were eligible for allowances through </w:t>
      </w:r>
      <w:proofErr w:type="spellStart"/>
      <w:r w:rsidRPr="004824E8">
        <w:rPr>
          <w:rFonts w:ascii="Arial" w:hAnsi="Arial" w:cs="Arial"/>
          <w:sz w:val="24"/>
          <w:szCs w:val="24"/>
        </w:rPr>
        <w:t>sBux</w:t>
      </w:r>
      <w:proofErr w:type="spellEnd"/>
      <w:r w:rsidRPr="004824E8">
        <w:rPr>
          <w:rFonts w:ascii="Arial" w:hAnsi="Arial" w:cs="Arial"/>
          <w:sz w:val="24"/>
          <w:szCs w:val="24"/>
        </w:rPr>
        <w:t xml:space="preserve"> in the 2017 academic year, 75.2% received these allowances within se</w:t>
      </w:r>
      <w:r>
        <w:rPr>
          <w:rFonts w:ascii="Arial" w:hAnsi="Arial" w:cs="Arial"/>
          <w:sz w:val="24"/>
          <w:szCs w:val="24"/>
        </w:rPr>
        <w:t xml:space="preserve">ven days after signing. </w:t>
      </w:r>
      <w:r w:rsidRPr="004824E8">
        <w:rPr>
          <w:rFonts w:ascii="Arial" w:hAnsi="Arial" w:cs="Arial"/>
          <w:sz w:val="24"/>
          <w:szCs w:val="24"/>
        </w:rPr>
        <w:t>The main reasons for allowance delays were as follows:</w:t>
      </w:r>
    </w:p>
    <w:p w:rsidR="009F28E4" w:rsidRDefault="009F28E4" w:rsidP="009F28E4">
      <w:pPr>
        <w:pStyle w:val="ListParagraph"/>
        <w:numPr>
          <w:ilvl w:val="0"/>
          <w:numId w:val="21"/>
        </w:numPr>
        <w:spacing w:after="240" w:line="360" w:lineRule="auto"/>
        <w:jc w:val="both"/>
        <w:rPr>
          <w:rFonts w:ascii="Arial" w:hAnsi="Arial" w:cs="Arial"/>
          <w:sz w:val="24"/>
          <w:szCs w:val="24"/>
        </w:rPr>
      </w:pPr>
      <w:r w:rsidRPr="004824E8">
        <w:rPr>
          <w:rFonts w:ascii="Arial" w:hAnsi="Arial" w:cs="Arial"/>
          <w:sz w:val="24"/>
          <w:szCs w:val="24"/>
        </w:rPr>
        <w:t xml:space="preserve">NSFAS system processes failed to trigger the funding processing cycle, which resulted in </w:t>
      </w:r>
      <w:r>
        <w:rPr>
          <w:rFonts w:ascii="Arial" w:hAnsi="Arial" w:cs="Arial"/>
          <w:sz w:val="24"/>
          <w:szCs w:val="24"/>
        </w:rPr>
        <w:t>LAFs or SOPs</w:t>
      </w:r>
      <w:r w:rsidRPr="004824E8">
        <w:rPr>
          <w:rFonts w:ascii="Arial" w:hAnsi="Arial" w:cs="Arial"/>
          <w:sz w:val="24"/>
          <w:szCs w:val="24"/>
        </w:rPr>
        <w:t xml:space="preserve"> not being processed and loans</w:t>
      </w:r>
      <w:r>
        <w:rPr>
          <w:rFonts w:ascii="Arial" w:hAnsi="Arial" w:cs="Arial"/>
          <w:sz w:val="24"/>
          <w:szCs w:val="24"/>
        </w:rPr>
        <w:t xml:space="preserve"> and </w:t>
      </w:r>
      <w:r w:rsidRPr="004824E8">
        <w:rPr>
          <w:rFonts w:ascii="Arial" w:hAnsi="Arial" w:cs="Arial"/>
          <w:sz w:val="24"/>
          <w:szCs w:val="24"/>
        </w:rPr>
        <w:t>bursaries sche</w:t>
      </w:r>
      <w:r>
        <w:rPr>
          <w:rFonts w:ascii="Arial" w:hAnsi="Arial" w:cs="Arial"/>
          <w:sz w:val="24"/>
          <w:szCs w:val="24"/>
        </w:rPr>
        <w:t>dules not being fully completed;</w:t>
      </w:r>
    </w:p>
    <w:p w:rsidR="009F28E4" w:rsidRDefault="009F28E4" w:rsidP="009F28E4">
      <w:pPr>
        <w:pStyle w:val="ListParagraph"/>
        <w:numPr>
          <w:ilvl w:val="0"/>
          <w:numId w:val="21"/>
        </w:numPr>
        <w:spacing w:after="240" w:line="360" w:lineRule="auto"/>
        <w:jc w:val="both"/>
        <w:rPr>
          <w:rFonts w:ascii="Arial" w:hAnsi="Arial" w:cs="Arial"/>
          <w:sz w:val="24"/>
          <w:szCs w:val="24"/>
        </w:rPr>
      </w:pPr>
      <w:r w:rsidRPr="00592AEB">
        <w:rPr>
          <w:rFonts w:ascii="Arial" w:hAnsi="Arial" w:cs="Arial"/>
          <w:sz w:val="24"/>
          <w:szCs w:val="24"/>
        </w:rPr>
        <w:t xml:space="preserve">Institutions processed student loan adjustments to include allowances after the tuition and residence amounts had already been processed; </w:t>
      </w:r>
    </w:p>
    <w:p w:rsidR="009F28E4" w:rsidRDefault="009F28E4" w:rsidP="009F28E4">
      <w:pPr>
        <w:pStyle w:val="ListParagraph"/>
        <w:numPr>
          <w:ilvl w:val="0"/>
          <w:numId w:val="21"/>
        </w:numPr>
        <w:spacing w:after="240" w:line="360" w:lineRule="auto"/>
        <w:jc w:val="both"/>
        <w:rPr>
          <w:rFonts w:ascii="Arial" w:hAnsi="Arial" w:cs="Arial"/>
          <w:sz w:val="24"/>
          <w:szCs w:val="24"/>
        </w:rPr>
      </w:pPr>
      <w:r w:rsidRPr="00592AEB">
        <w:rPr>
          <w:rFonts w:ascii="Arial" w:hAnsi="Arial" w:cs="Arial"/>
          <w:sz w:val="24"/>
          <w:szCs w:val="24"/>
        </w:rPr>
        <w:t xml:space="preserve">A substantial increase in the volume of “top-up” allowances was processed in the 2017 academic year. Due to delays in </w:t>
      </w:r>
      <w:r>
        <w:rPr>
          <w:rFonts w:ascii="Arial" w:hAnsi="Arial" w:cs="Arial"/>
          <w:sz w:val="24"/>
          <w:szCs w:val="24"/>
        </w:rPr>
        <w:t xml:space="preserve">the </w:t>
      </w:r>
      <w:r w:rsidRPr="00592AEB">
        <w:rPr>
          <w:rFonts w:ascii="Arial" w:hAnsi="Arial" w:cs="Arial"/>
          <w:sz w:val="24"/>
          <w:szCs w:val="24"/>
        </w:rPr>
        <w:t>submission of registration data to NSFAS, institutions were frequently encouraged to send data for processing;</w:t>
      </w:r>
    </w:p>
    <w:p w:rsidR="009F28E4" w:rsidRDefault="009F28E4" w:rsidP="009F28E4">
      <w:pPr>
        <w:pStyle w:val="ListParagraph"/>
        <w:numPr>
          <w:ilvl w:val="0"/>
          <w:numId w:val="21"/>
        </w:numPr>
        <w:spacing w:after="240" w:line="360" w:lineRule="auto"/>
        <w:jc w:val="both"/>
        <w:rPr>
          <w:rFonts w:ascii="Arial" w:hAnsi="Arial" w:cs="Arial"/>
          <w:sz w:val="24"/>
          <w:szCs w:val="24"/>
        </w:rPr>
      </w:pPr>
      <w:r w:rsidRPr="00592AEB">
        <w:rPr>
          <w:rFonts w:ascii="Arial" w:hAnsi="Arial" w:cs="Arial"/>
          <w:sz w:val="24"/>
          <w:szCs w:val="24"/>
        </w:rPr>
        <w:t xml:space="preserve">The frequency of “top-up” allowance processing for the pre-funded students by </w:t>
      </w:r>
      <w:proofErr w:type="spellStart"/>
      <w:r w:rsidRPr="00592AEB">
        <w:rPr>
          <w:rFonts w:ascii="Arial" w:hAnsi="Arial" w:cs="Arial"/>
          <w:sz w:val="24"/>
          <w:szCs w:val="24"/>
        </w:rPr>
        <w:t>Funza</w:t>
      </w:r>
      <w:proofErr w:type="spellEnd"/>
      <w:r w:rsidRPr="00592AEB">
        <w:rPr>
          <w:rFonts w:ascii="Arial" w:hAnsi="Arial" w:cs="Arial"/>
          <w:sz w:val="24"/>
          <w:szCs w:val="24"/>
        </w:rPr>
        <w:t xml:space="preserve"> </w:t>
      </w:r>
      <w:proofErr w:type="spellStart"/>
      <w:r w:rsidRPr="00592AEB">
        <w:rPr>
          <w:rFonts w:ascii="Arial" w:hAnsi="Arial" w:cs="Arial"/>
          <w:sz w:val="24"/>
          <w:szCs w:val="24"/>
        </w:rPr>
        <w:t>Lushaka</w:t>
      </w:r>
      <w:proofErr w:type="spellEnd"/>
      <w:r w:rsidRPr="00592AEB">
        <w:rPr>
          <w:rFonts w:ascii="Arial" w:hAnsi="Arial" w:cs="Arial"/>
          <w:sz w:val="24"/>
          <w:szCs w:val="24"/>
        </w:rPr>
        <w:t>, Department of Social Development and Department of Military Veterans; and</w:t>
      </w:r>
    </w:p>
    <w:p w:rsidR="009F28E4" w:rsidRPr="00592AEB" w:rsidRDefault="009F28E4" w:rsidP="009F28E4">
      <w:pPr>
        <w:pStyle w:val="ListParagraph"/>
        <w:numPr>
          <w:ilvl w:val="0"/>
          <w:numId w:val="21"/>
        </w:numPr>
        <w:spacing w:after="240" w:line="360" w:lineRule="auto"/>
        <w:ind w:left="1281" w:hanging="357"/>
        <w:contextualSpacing w:val="0"/>
        <w:jc w:val="both"/>
        <w:rPr>
          <w:rFonts w:ascii="Arial" w:hAnsi="Arial" w:cs="Arial"/>
          <w:sz w:val="24"/>
          <w:szCs w:val="24"/>
        </w:rPr>
      </w:pPr>
      <w:r w:rsidRPr="00592AEB">
        <w:rPr>
          <w:rFonts w:ascii="Arial" w:hAnsi="Arial" w:cs="Arial"/>
          <w:sz w:val="24"/>
          <w:szCs w:val="24"/>
        </w:rPr>
        <w:t xml:space="preserve">Students, especially at TVET colleges, continue to share cell phone numbers to try to speed up SOPs acceptance. This practise allows students (siblings, family and friends) to sign their SOPs using a central phone number. However, this negatively impacts on </w:t>
      </w:r>
      <w:proofErr w:type="spellStart"/>
      <w:r w:rsidRPr="00592AEB">
        <w:rPr>
          <w:rFonts w:ascii="Arial" w:hAnsi="Arial" w:cs="Arial"/>
          <w:sz w:val="24"/>
          <w:szCs w:val="24"/>
        </w:rPr>
        <w:t>sBux</w:t>
      </w:r>
      <w:proofErr w:type="spellEnd"/>
      <w:r w:rsidRPr="00592AEB">
        <w:rPr>
          <w:rFonts w:ascii="Arial" w:hAnsi="Arial" w:cs="Arial"/>
          <w:sz w:val="24"/>
          <w:szCs w:val="24"/>
        </w:rPr>
        <w:t xml:space="preserve"> disbursement performance as the owners of the shared cell numbers reflect as not being disbursed within the 7-day window period.</w:t>
      </w:r>
    </w:p>
    <w:p w:rsidR="009F28E4" w:rsidRPr="000C42F3" w:rsidRDefault="009F28E4" w:rsidP="009F28E4">
      <w:pPr>
        <w:pStyle w:val="ListParagraph"/>
        <w:spacing w:after="0" w:line="360" w:lineRule="auto"/>
        <w:ind w:left="850" w:hanging="425"/>
        <w:contextualSpacing w:val="0"/>
        <w:jc w:val="both"/>
        <w:rPr>
          <w:rFonts w:ascii="Arial" w:hAnsi="Arial" w:cs="Arial"/>
          <w:sz w:val="24"/>
          <w:szCs w:val="24"/>
        </w:rPr>
      </w:pPr>
      <w:r w:rsidRPr="000C42F3">
        <w:rPr>
          <w:rFonts w:ascii="Arial" w:hAnsi="Arial" w:cs="Arial"/>
          <w:sz w:val="24"/>
          <w:szCs w:val="24"/>
        </w:rPr>
        <w:lastRenderedPageBreak/>
        <w:t xml:space="preserve">(b) </w:t>
      </w:r>
      <w:r>
        <w:rPr>
          <w:rFonts w:ascii="Arial" w:hAnsi="Arial" w:cs="Arial"/>
          <w:sz w:val="24"/>
          <w:szCs w:val="24"/>
        </w:rPr>
        <w:tab/>
      </w:r>
      <w:r w:rsidRPr="000C42F3">
        <w:rPr>
          <w:rFonts w:ascii="Arial" w:hAnsi="Arial" w:cs="Arial"/>
          <w:sz w:val="24"/>
          <w:szCs w:val="24"/>
        </w:rPr>
        <w:t>In order to prepare for the</w:t>
      </w:r>
      <w:r>
        <w:rPr>
          <w:rFonts w:ascii="Arial" w:hAnsi="Arial" w:cs="Arial"/>
          <w:sz w:val="24"/>
          <w:szCs w:val="24"/>
        </w:rPr>
        <w:t xml:space="preserve"> 2018 academic cycle, NSFAS </w:t>
      </w:r>
      <w:r w:rsidRPr="000C42F3">
        <w:rPr>
          <w:rFonts w:ascii="Arial" w:hAnsi="Arial" w:cs="Arial"/>
          <w:sz w:val="24"/>
          <w:szCs w:val="24"/>
        </w:rPr>
        <w:t xml:space="preserve">embarked on various initiatives </w:t>
      </w:r>
      <w:r>
        <w:rPr>
          <w:rFonts w:ascii="Arial" w:hAnsi="Arial" w:cs="Arial"/>
          <w:sz w:val="24"/>
          <w:szCs w:val="24"/>
        </w:rPr>
        <w:t>and</w:t>
      </w:r>
      <w:r w:rsidRPr="000C42F3">
        <w:rPr>
          <w:rFonts w:ascii="Arial" w:hAnsi="Arial" w:cs="Arial"/>
          <w:sz w:val="24"/>
          <w:szCs w:val="24"/>
        </w:rPr>
        <w:t xml:space="preserve"> projects to stabilise core business processes. These include the following:</w:t>
      </w:r>
    </w:p>
    <w:p w:rsidR="009F28E4" w:rsidRDefault="009F28E4" w:rsidP="009F28E4">
      <w:pPr>
        <w:pStyle w:val="ListParagraph"/>
        <w:spacing w:after="0" w:line="360" w:lineRule="auto"/>
        <w:ind w:left="1276" w:hanging="349"/>
        <w:contextualSpacing w:val="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C42F3">
        <w:rPr>
          <w:rFonts w:ascii="Arial" w:hAnsi="Arial" w:cs="Arial"/>
          <w:sz w:val="24"/>
          <w:szCs w:val="24"/>
        </w:rPr>
        <w:t xml:space="preserve">Refreshing the operational value chain to ensure that the full scope of the 2018 operational programme is attended to as part of the strategy to stabilise core business processes and systems; </w:t>
      </w:r>
    </w:p>
    <w:p w:rsidR="009F28E4" w:rsidRDefault="009F28E4" w:rsidP="009F28E4">
      <w:pPr>
        <w:pStyle w:val="ListParagraph"/>
        <w:spacing w:after="0" w:line="360" w:lineRule="auto"/>
        <w:ind w:left="1276" w:hanging="349"/>
        <w:contextualSpacing w:val="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592AEB">
        <w:rPr>
          <w:rFonts w:ascii="Arial" w:hAnsi="Arial" w:cs="Arial"/>
          <w:sz w:val="24"/>
          <w:szCs w:val="24"/>
        </w:rPr>
        <w:t>Significant emphasis has been placed on improving the end-to-end NSFAS payment process efficiency, through the establishment of a specific task team of technical specialists and subject matter experts;</w:t>
      </w:r>
    </w:p>
    <w:p w:rsidR="009F28E4" w:rsidRDefault="009F28E4" w:rsidP="009F28E4">
      <w:pPr>
        <w:pStyle w:val="ListParagraph"/>
        <w:spacing w:after="0" w:line="360" w:lineRule="auto"/>
        <w:ind w:left="1276" w:hanging="349"/>
        <w:contextualSpacing w:val="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592AEB">
        <w:rPr>
          <w:rFonts w:ascii="Arial" w:hAnsi="Arial" w:cs="Arial"/>
          <w:sz w:val="24"/>
          <w:szCs w:val="24"/>
        </w:rPr>
        <w:t>Through a rigorous supply chain management process, two additional disbursement providers have been appointed for the 2018 academic year</w:t>
      </w:r>
      <w:r>
        <w:rPr>
          <w:rFonts w:ascii="Arial" w:hAnsi="Arial" w:cs="Arial"/>
          <w:sz w:val="24"/>
          <w:szCs w:val="24"/>
        </w:rPr>
        <w:t xml:space="preserve">, i.e. </w:t>
      </w:r>
      <w:r w:rsidRPr="00592AEB">
        <w:rPr>
          <w:rFonts w:ascii="Arial" w:hAnsi="Arial" w:cs="Arial"/>
          <w:sz w:val="24"/>
          <w:szCs w:val="24"/>
        </w:rPr>
        <w:t>Standard Bank and</w:t>
      </w:r>
      <w:r>
        <w:rPr>
          <w:rFonts w:ascii="Arial" w:hAnsi="Arial" w:cs="Arial"/>
          <w:sz w:val="24"/>
          <w:szCs w:val="24"/>
        </w:rPr>
        <w:t xml:space="preserve"> VBS Bank</w:t>
      </w:r>
      <w:r w:rsidRPr="00592AEB">
        <w:rPr>
          <w:rFonts w:ascii="Arial" w:hAnsi="Arial" w:cs="Arial"/>
          <w:sz w:val="24"/>
          <w:szCs w:val="24"/>
        </w:rPr>
        <w:t>;</w:t>
      </w:r>
    </w:p>
    <w:p w:rsidR="009F28E4" w:rsidRDefault="009F28E4" w:rsidP="009F28E4">
      <w:pPr>
        <w:pStyle w:val="ListParagraph"/>
        <w:spacing w:after="0" w:line="360" w:lineRule="auto"/>
        <w:ind w:left="1276" w:hanging="349"/>
        <w:contextualSpacing w:val="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592AEB">
        <w:rPr>
          <w:rFonts w:ascii="Arial" w:hAnsi="Arial" w:cs="Arial"/>
          <w:sz w:val="24"/>
          <w:szCs w:val="24"/>
        </w:rPr>
        <w:t>Improving the efficiency of the ranking and provisional funding process so that students can be funded on/before registration and can therefore sign for their LAF or SOPs earlier in the academic year; and</w:t>
      </w:r>
    </w:p>
    <w:p w:rsidR="009F28E4" w:rsidRPr="00592AEB" w:rsidRDefault="009F28E4" w:rsidP="009F28E4">
      <w:pPr>
        <w:pStyle w:val="ListParagraph"/>
        <w:spacing w:after="240" w:line="360" w:lineRule="auto"/>
        <w:ind w:left="1276" w:hanging="349"/>
        <w:contextualSpacing w:val="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Streamlining</w:t>
      </w:r>
      <w:r w:rsidRPr="00592AEB">
        <w:rPr>
          <w:rFonts w:ascii="Arial" w:hAnsi="Arial" w:cs="Arial"/>
          <w:sz w:val="24"/>
          <w:szCs w:val="24"/>
        </w:rPr>
        <w:t xml:space="preserve"> and</w:t>
      </w:r>
      <w:r>
        <w:rPr>
          <w:rFonts w:ascii="Arial" w:hAnsi="Arial" w:cs="Arial"/>
          <w:sz w:val="24"/>
          <w:szCs w:val="24"/>
        </w:rPr>
        <w:t xml:space="preserve"> automating</w:t>
      </w:r>
      <w:r w:rsidRPr="00592AEB">
        <w:rPr>
          <w:rFonts w:ascii="Arial" w:hAnsi="Arial" w:cs="Arial"/>
          <w:sz w:val="24"/>
          <w:szCs w:val="24"/>
        </w:rPr>
        <w:t xml:space="preserve"> the process of funding preselected students. </w:t>
      </w:r>
    </w:p>
    <w:p w:rsidR="009F28E4" w:rsidRPr="000C42F3" w:rsidRDefault="009F28E4" w:rsidP="009F28E4">
      <w:pPr>
        <w:spacing w:after="240" w:line="360" w:lineRule="auto"/>
        <w:jc w:val="both"/>
        <w:rPr>
          <w:rFonts w:ascii="Arial" w:hAnsi="Arial" w:cs="Arial"/>
          <w:sz w:val="24"/>
          <w:szCs w:val="24"/>
        </w:rPr>
      </w:pPr>
    </w:p>
    <w:p w:rsidR="009F28E4" w:rsidRPr="000C42F3" w:rsidRDefault="009F28E4" w:rsidP="009F28E4">
      <w:pPr>
        <w:spacing w:after="240" w:line="360" w:lineRule="auto"/>
        <w:rPr>
          <w:rFonts w:ascii="Arial" w:hAnsi="Arial" w:cs="Arial"/>
          <w:sz w:val="24"/>
          <w:szCs w:val="24"/>
        </w:rPr>
      </w:pPr>
      <w:r w:rsidRPr="000C42F3">
        <w:rPr>
          <w:rFonts w:ascii="Arial" w:hAnsi="Arial" w:cs="Arial"/>
          <w:sz w:val="24"/>
          <w:szCs w:val="24"/>
        </w:rPr>
        <w:br w:type="page"/>
      </w:r>
    </w:p>
    <w:p w:rsidR="009F28E4" w:rsidRDefault="009F28E4" w:rsidP="009F28E4">
      <w:pPr>
        <w:spacing w:after="360" w:line="360" w:lineRule="auto"/>
        <w:jc w:val="both"/>
        <w:rPr>
          <w:rFonts w:ascii="Arial" w:hAnsi="Arial" w:cs="Arial"/>
          <w:b/>
          <w:sz w:val="24"/>
          <w:szCs w:val="24"/>
        </w:rPr>
      </w:pPr>
      <w:r>
        <w:rPr>
          <w:rFonts w:ascii="Arial" w:hAnsi="Arial" w:cs="Arial"/>
          <w:b/>
          <w:sz w:val="24"/>
          <w:szCs w:val="24"/>
        </w:rPr>
        <w:lastRenderedPageBreak/>
        <w:t>COMPILER DETAILS</w:t>
      </w:r>
    </w:p>
    <w:p w:rsidR="009F28E4" w:rsidRDefault="009F28E4" w:rsidP="009F28E4">
      <w:pPr>
        <w:spacing w:line="360" w:lineRule="auto"/>
        <w:jc w:val="both"/>
        <w:rPr>
          <w:rFonts w:ascii="Arial" w:hAnsi="Arial" w:cs="Arial"/>
          <w:sz w:val="24"/>
          <w:szCs w:val="24"/>
        </w:rPr>
      </w:pPr>
      <w:r>
        <w:rPr>
          <w:rFonts w:ascii="Arial" w:hAnsi="Arial" w:cs="Arial"/>
          <w:sz w:val="24"/>
          <w:szCs w:val="24"/>
        </w:rPr>
        <w:t xml:space="preserve">NAME AND SURNAME: </w:t>
      </w:r>
      <w:r w:rsidRPr="000C42F3">
        <w:rPr>
          <w:rFonts w:ascii="Arial" w:hAnsi="Arial" w:cs="Arial"/>
          <w:sz w:val="24"/>
          <w:szCs w:val="24"/>
        </w:rPr>
        <w:t>MS PEARL WHITTLE</w:t>
      </w:r>
    </w:p>
    <w:p w:rsidR="009F28E4" w:rsidRDefault="009F28E4" w:rsidP="009F28E4">
      <w:pPr>
        <w:spacing w:after="360" w:line="360" w:lineRule="auto"/>
        <w:jc w:val="both"/>
        <w:rPr>
          <w:rFonts w:ascii="Arial" w:hAnsi="Arial" w:cs="Arial"/>
          <w:sz w:val="24"/>
          <w:szCs w:val="24"/>
        </w:rPr>
      </w:pPr>
      <w:r>
        <w:rPr>
          <w:rFonts w:ascii="Arial" w:hAnsi="Arial" w:cs="Arial"/>
          <w:sz w:val="24"/>
          <w:szCs w:val="24"/>
        </w:rPr>
        <w:t>CONTACT: 012 312 5248</w:t>
      </w:r>
    </w:p>
    <w:p w:rsidR="009F28E4" w:rsidRDefault="009F28E4" w:rsidP="009F28E4">
      <w:pPr>
        <w:spacing w:after="360" w:line="360" w:lineRule="auto"/>
        <w:jc w:val="both"/>
        <w:rPr>
          <w:rFonts w:ascii="Arial" w:hAnsi="Arial" w:cs="Arial"/>
          <w:bCs/>
          <w:sz w:val="24"/>
          <w:szCs w:val="24"/>
        </w:rPr>
      </w:pPr>
      <w:r>
        <w:rPr>
          <w:rFonts w:ascii="Arial" w:hAnsi="Arial" w:cs="Arial"/>
          <w:b/>
          <w:bCs/>
          <w:sz w:val="24"/>
          <w:szCs w:val="24"/>
        </w:rPr>
        <w:t>RECOMMENDATION</w:t>
      </w:r>
      <w:r>
        <w:rPr>
          <w:rFonts w:ascii="Arial" w:hAnsi="Arial" w:cs="Arial"/>
          <w:bCs/>
          <w:sz w:val="24"/>
          <w:szCs w:val="24"/>
        </w:rPr>
        <w:t xml:space="preserve"> </w:t>
      </w:r>
    </w:p>
    <w:p w:rsidR="009F28E4" w:rsidRDefault="009F28E4" w:rsidP="009F28E4">
      <w:pPr>
        <w:spacing w:line="360" w:lineRule="auto"/>
        <w:jc w:val="both"/>
        <w:rPr>
          <w:rFonts w:ascii="Arial" w:hAnsi="Arial" w:cs="Arial"/>
          <w:bCs/>
          <w:sz w:val="24"/>
          <w:szCs w:val="24"/>
        </w:rPr>
      </w:pPr>
      <w:r>
        <w:rPr>
          <w:rFonts w:ascii="Arial" w:hAnsi="Arial" w:cs="Arial"/>
          <w:bCs/>
          <w:sz w:val="24"/>
          <w:szCs w:val="24"/>
        </w:rPr>
        <w:t xml:space="preserve">It is recommended that the Minister signs Parliamentary Question </w:t>
      </w:r>
      <w:r w:rsidR="00E46F4F">
        <w:rPr>
          <w:rFonts w:ascii="Arial" w:hAnsi="Arial" w:cs="Arial"/>
          <w:bCs/>
          <w:sz w:val="24"/>
          <w:szCs w:val="24"/>
        </w:rPr>
        <w:t>27</w:t>
      </w:r>
      <w:r>
        <w:rPr>
          <w:rFonts w:ascii="Arial" w:hAnsi="Arial" w:cs="Arial"/>
          <w:bCs/>
          <w:sz w:val="24"/>
          <w:szCs w:val="24"/>
        </w:rPr>
        <w:t>.</w:t>
      </w:r>
    </w:p>
    <w:p w:rsidR="009F28E4" w:rsidRDefault="009F28E4" w:rsidP="009F28E4">
      <w:pPr>
        <w:spacing w:line="360" w:lineRule="auto"/>
        <w:jc w:val="both"/>
        <w:rPr>
          <w:rFonts w:ascii="Arial" w:hAnsi="Arial" w:cs="Arial"/>
          <w:bCs/>
          <w:sz w:val="24"/>
          <w:szCs w:val="24"/>
        </w:rPr>
      </w:pPr>
    </w:p>
    <w:p w:rsidR="009F28E4" w:rsidRDefault="009F28E4" w:rsidP="009F28E4">
      <w:pPr>
        <w:spacing w:line="360" w:lineRule="auto"/>
        <w:jc w:val="both"/>
        <w:rPr>
          <w:rFonts w:ascii="Arial" w:hAnsi="Arial" w:cs="Arial"/>
          <w:bCs/>
          <w:sz w:val="24"/>
          <w:szCs w:val="24"/>
        </w:rPr>
      </w:pPr>
    </w:p>
    <w:p w:rsidR="009F28E4" w:rsidRDefault="009F28E4" w:rsidP="009F28E4">
      <w:pPr>
        <w:spacing w:line="360" w:lineRule="auto"/>
        <w:jc w:val="both"/>
        <w:rPr>
          <w:rFonts w:ascii="Arial" w:hAnsi="Arial" w:cs="Arial"/>
          <w:bCs/>
          <w:sz w:val="24"/>
          <w:szCs w:val="24"/>
        </w:rPr>
      </w:pPr>
    </w:p>
    <w:p w:rsidR="009F28E4" w:rsidRDefault="009F28E4" w:rsidP="009F28E4">
      <w:pPr>
        <w:spacing w:after="0" w:line="360" w:lineRule="auto"/>
        <w:jc w:val="both"/>
        <w:rPr>
          <w:rFonts w:ascii="Arial" w:hAnsi="Arial" w:cs="Arial"/>
          <w:sz w:val="24"/>
          <w:szCs w:val="24"/>
        </w:rPr>
      </w:pPr>
      <w:r>
        <w:rPr>
          <w:rFonts w:ascii="Arial" w:hAnsi="Arial" w:cs="Arial"/>
          <w:sz w:val="24"/>
          <w:szCs w:val="24"/>
        </w:rPr>
        <w:t>MR GF QONDE</w:t>
      </w:r>
    </w:p>
    <w:p w:rsidR="009F28E4" w:rsidRDefault="009F28E4" w:rsidP="009F28E4">
      <w:pPr>
        <w:spacing w:line="360" w:lineRule="auto"/>
        <w:jc w:val="both"/>
        <w:rPr>
          <w:rFonts w:ascii="Arial" w:hAnsi="Arial" w:cs="Arial"/>
          <w:sz w:val="24"/>
          <w:szCs w:val="24"/>
        </w:rPr>
      </w:pPr>
      <w:r>
        <w:rPr>
          <w:rFonts w:ascii="Arial" w:hAnsi="Arial" w:cs="Arial"/>
          <w:sz w:val="24"/>
          <w:szCs w:val="24"/>
        </w:rPr>
        <w:t xml:space="preserve">DIRECTOR–GENERAL: HIGHER EDUCATION AND TRAINING </w:t>
      </w:r>
    </w:p>
    <w:p w:rsidR="009F28E4" w:rsidRDefault="009F28E4" w:rsidP="009F28E4">
      <w:pPr>
        <w:spacing w:after="0" w:line="360" w:lineRule="auto"/>
        <w:jc w:val="both"/>
        <w:rPr>
          <w:rFonts w:ascii="Arial" w:hAnsi="Arial" w:cs="Arial"/>
          <w:sz w:val="24"/>
          <w:szCs w:val="24"/>
        </w:rPr>
      </w:pPr>
      <w:r>
        <w:rPr>
          <w:rFonts w:ascii="Arial" w:hAnsi="Arial" w:cs="Arial"/>
          <w:sz w:val="24"/>
          <w:szCs w:val="24"/>
        </w:rPr>
        <w:t>DATE:</w:t>
      </w:r>
    </w:p>
    <w:p w:rsidR="009F28E4" w:rsidRDefault="009F28E4" w:rsidP="009F28E4">
      <w:pPr>
        <w:spacing w:line="360" w:lineRule="auto"/>
        <w:jc w:val="both"/>
        <w:rPr>
          <w:rFonts w:ascii="Arial" w:hAnsi="Arial" w:cs="Arial"/>
          <w:sz w:val="24"/>
          <w:szCs w:val="24"/>
        </w:rPr>
      </w:pPr>
    </w:p>
    <w:p w:rsidR="009F28E4" w:rsidRDefault="009F28E4" w:rsidP="009F28E4">
      <w:pPr>
        <w:spacing w:after="360" w:line="360" w:lineRule="auto"/>
        <w:jc w:val="both"/>
        <w:rPr>
          <w:rFonts w:ascii="Arial" w:hAnsi="Arial" w:cs="Arial"/>
          <w:sz w:val="24"/>
          <w:szCs w:val="24"/>
        </w:rPr>
      </w:pPr>
      <w:r>
        <w:rPr>
          <w:rFonts w:ascii="Arial" w:hAnsi="Arial" w:cs="Arial"/>
          <w:sz w:val="24"/>
          <w:szCs w:val="24"/>
        </w:rPr>
        <w:t xml:space="preserve">PARLIAMENTARY QUESTION </w:t>
      </w:r>
      <w:r w:rsidR="00E46F4F">
        <w:rPr>
          <w:rFonts w:ascii="Arial" w:hAnsi="Arial" w:cs="Arial"/>
          <w:sz w:val="24"/>
          <w:szCs w:val="24"/>
        </w:rPr>
        <w:t>27</w:t>
      </w:r>
      <w:r>
        <w:rPr>
          <w:rFonts w:ascii="Arial" w:hAnsi="Arial" w:cs="Arial"/>
          <w:sz w:val="24"/>
          <w:szCs w:val="24"/>
        </w:rPr>
        <w:t xml:space="preserve"> IS APPROVED / NOT APPROVED / AMENDED.</w:t>
      </w:r>
    </w:p>
    <w:p w:rsidR="009F28E4" w:rsidRDefault="009F28E4" w:rsidP="009F28E4">
      <w:pPr>
        <w:spacing w:line="360" w:lineRule="auto"/>
        <w:jc w:val="both"/>
        <w:rPr>
          <w:rFonts w:ascii="Arial" w:hAnsi="Arial" w:cs="Arial"/>
          <w:sz w:val="24"/>
          <w:szCs w:val="24"/>
        </w:rPr>
      </w:pPr>
      <w:r>
        <w:rPr>
          <w:rFonts w:ascii="Arial" w:hAnsi="Arial" w:cs="Arial"/>
          <w:sz w:val="24"/>
          <w:szCs w:val="24"/>
        </w:rPr>
        <w:t>COMMENTS</w:t>
      </w:r>
    </w:p>
    <w:p w:rsidR="009F28E4" w:rsidRDefault="009F28E4" w:rsidP="009F28E4">
      <w:pPr>
        <w:spacing w:line="360" w:lineRule="auto"/>
        <w:jc w:val="both"/>
        <w:rPr>
          <w:rFonts w:ascii="Arial" w:hAnsi="Arial" w:cs="Arial"/>
          <w:sz w:val="24"/>
          <w:szCs w:val="24"/>
        </w:rPr>
      </w:pPr>
    </w:p>
    <w:p w:rsidR="009F28E4" w:rsidRDefault="009F28E4" w:rsidP="009F28E4">
      <w:pPr>
        <w:spacing w:line="360" w:lineRule="auto"/>
        <w:jc w:val="both"/>
        <w:rPr>
          <w:rFonts w:ascii="Arial" w:hAnsi="Arial" w:cs="Arial"/>
          <w:sz w:val="24"/>
          <w:szCs w:val="24"/>
        </w:rPr>
      </w:pPr>
    </w:p>
    <w:p w:rsidR="009F28E4" w:rsidRDefault="009F28E4" w:rsidP="009F28E4">
      <w:pPr>
        <w:spacing w:line="360" w:lineRule="auto"/>
        <w:jc w:val="both"/>
        <w:rPr>
          <w:rFonts w:ascii="Arial" w:hAnsi="Arial" w:cs="Arial"/>
          <w:sz w:val="24"/>
          <w:szCs w:val="24"/>
        </w:rPr>
      </w:pPr>
    </w:p>
    <w:p w:rsidR="009F28E4" w:rsidRDefault="009F28E4" w:rsidP="009F28E4">
      <w:pPr>
        <w:spacing w:line="360" w:lineRule="auto"/>
        <w:jc w:val="both"/>
        <w:rPr>
          <w:rFonts w:ascii="Arial" w:hAnsi="Arial" w:cs="Arial"/>
          <w:sz w:val="24"/>
          <w:szCs w:val="24"/>
        </w:rPr>
      </w:pPr>
    </w:p>
    <w:p w:rsidR="009F28E4" w:rsidRDefault="009F28E4" w:rsidP="009F28E4">
      <w:pPr>
        <w:spacing w:after="0" w:line="360" w:lineRule="auto"/>
        <w:jc w:val="both"/>
        <w:rPr>
          <w:rFonts w:ascii="Arial" w:hAnsi="Arial" w:cs="Arial"/>
          <w:sz w:val="24"/>
          <w:szCs w:val="24"/>
        </w:rPr>
      </w:pPr>
      <w:r>
        <w:rPr>
          <w:rFonts w:ascii="Arial" w:hAnsi="Arial" w:cs="Arial"/>
          <w:sz w:val="24"/>
          <w:szCs w:val="24"/>
        </w:rPr>
        <w:t>PROF HB MKHIZE, MP</w:t>
      </w:r>
    </w:p>
    <w:p w:rsidR="009F28E4" w:rsidRDefault="009F28E4" w:rsidP="009F28E4">
      <w:pPr>
        <w:spacing w:line="360" w:lineRule="auto"/>
        <w:jc w:val="both"/>
        <w:rPr>
          <w:rFonts w:ascii="Arial" w:hAnsi="Arial" w:cs="Arial"/>
          <w:sz w:val="24"/>
          <w:szCs w:val="24"/>
        </w:rPr>
      </w:pPr>
      <w:r>
        <w:rPr>
          <w:rFonts w:ascii="Arial" w:hAnsi="Arial" w:cs="Arial"/>
          <w:sz w:val="24"/>
          <w:szCs w:val="24"/>
        </w:rPr>
        <w:t>MINISTER OF HIGHER EDUCATION AND TRAINING</w:t>
      </w:r>
    </w:p>
    <w:p w:rsidR="00D812CE" w:rsidRPr="00ED188E" w:rsidRDefault="009F28E4" w:rsidP="00E46F4F">
      <w:pPr>
        <w:spacing w:line="360" w:lineRule="auto"/>
        <w:jc w:val="both"/>
        <w:rPr>
          <w:rFonts w:ascii="Arial" w:hAnsi="Arial" w:cs="Arial"/>
          <w:sz w:val="24"/>
          <w:szCs w:val="24"/>
        </w:rPr>
      </w:pPr>
      <w:r>
        <w:rPr>
          <w:rFonts w:ascii="Arial" w:hAnsi="Arial" w:cs="Arial"/>
          <w:sz w:val="24"/>
          <w:szCs w:val="24"/>
        </w:rPr>
        <w:t>DATE:</w:t>
      </w:r>
    </w:p>
    <w:sectPr w:rsidR="00D812CE" w:rsidRPr="00ED188E"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24F7"/>
    <w:multiLevelType w:val="hybridMultilevel"/>
    <w:tmpl w:val="2D36D822"/>
    <w:lvl w:ilvl="0" w:tplc="1EE81A08">
      <w:start w:val="1"/>
      <w:numFmt w:val="decimal"/>
      <w:lvlText w:val="(%1)"/>
      <w:lvlJc w:val="left"/>
      <w:pPr>
        <w:ind w:left="7200" w:hanging="360"/>
      </w:pPr>
      <w:rPr>
        <w:rFonts w:hint="default"/>
      </w:rPr>
    </w:lvl>
    <w:lvl w:ilvl="1" w:tplc="1C090019" w:tentative="1">
      <w:start w:val="1"/>
      <w:numFmt w:val="lowerLetter"/>
      <w:lvlText w:val="%2."/>
      <w:lvlJc w:val="left"/>
      <w:pPr>
        <w:ind w:left="7920" w:hanging="360"/>
      </w:pPr>
    </w:lvl>
    <w:lvl w:ilvl="2" w:tplc="1C09001B" w:tentative="1">
      <w:start w:val="1"/>
      <w:numFmt w:val="lowerRoman"/>
      <w:lvlText w:val="%3."/>
      <w:lvlJc w:val="right"/>
      <w:pPr>
        <w:ind w:left="8640" w:hanging="180"/>
      </w:pPr>
    </w:lvl>
    <w:lvl w:ilvl="3" w:tplc="1C09000F" w:tentative="1">
      <w:start w:val="1"/>
      <w:numFmt w:val="decimal"/>
      <w:lvlText w:val="%4."/>
      <w:lvlJc w:val="left"/>
      <w:pPr>
        <w:ind w:left="9360" w:hanging="360"/>
      </w:pPr>
    </w:lvl>
    <w:lvl w:ilvl="4" w:tplc="1C090019" w:tentative="1">
      <w:start w:val="1"/>
      <w:numFmt w:val="lowerLetter"/>
      <w:lvlText w:val="%5."/>
      <w:lvlJc w:val="left"/>
      <w:pPr>
        <w:ind w:left="10080" w:hanging="360"/>
      </w:pPr>
    </w:lvl>
    <w:lvl w:ilvl="5" w:tplc="1C09001B" w:tentative="1">
      <w:start w:val="1"/>
      <w:numFmt w:val="lowerRoman"/>
      <w:lvlText w:val="%6."/>
      <w:lvlJc w:val="right"/>
      <w:pPr>
        <w:ind w:left="10800" w:hanging="180"/>
      </w:pPr>
    </w:lvl>
    <w:lvl w:ilvl="6" w:tplc="1C09000F" w:tentative="1">
      <w:start w:val="1"/>
      <w:numFmt w:val="decimal"/>
      <w:lvlText w:val="%7."/>
      <w:lvlJc w:val="left"/>
      <w:pPr>
        <w:ind w:left="11520" w:hanging="360"/>
      </w:pPr>
    </w:lvl>
    <w:lvl w:ilvl="7" w:tplc="1C090019" w:tentative="1">
      <w:start w:val="1"/>
      <w:numFmt w:val="lowerLetter"/>
      <w:lvlText w:val="%8."/>
      <w:lvlJc w:val="left"/>
      <w:pPr>
        <w:ind w:left="12240" w:hanging="360"/>
      </w:pPr>
    </w:lvl>
    <w:lvl w:ilvl="8" w:tplc="1C09001B" w:tentative="1">
      <w:start w:val="1"/>
      <w:numFmt w:val="lowerRoman"/>
      <w:lvlText w:val="%9."/>
      <w:lvlJc w:val="right"/>
      <w:pPr>
        <w:ind w:left="12960"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14970F3"/>
    <w:multiLevelType w:val="hybridMultilevel"/>
    <w:tmpl w:val="46C8EF7E"/>
    <w:lvl w:ilvl="0" w:tplc="6832C68A">
      <w:start w:val="3"/>
      <w:numFmt w:val="bullet"/>
      <w:lvlText w:val="-"/>
      <w:lvlJc w:val="left"/>
      <w:pPr>
        <w:ind w:left="1287" w:hanging="360"/>
      </w:pPr>
      <w:rPr>
        <w:rFonts w:ascii="Arial" w:eastAsia="Calibri" w:hAnsi="Arial" w:cs="Aria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9"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1"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2"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6"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20"/>
  </w:num>
  <w:num w:numId="3">
    <w:abstractNumId w:val="12"/>
  </w:num>
  <w:num w:numId="4">
    <w:abstractNumId w:val="3"/>
  </w:num>
  <w:num w:numId="5">
    <w:abstractNumId w:val="17"/>
  </w:num>
  <w:num w:numId="6">
    <w:abstractNumId w:val="11"/>
  </w:num>
  <w:num w:numId="7">
    <w:abstractNumId w:val="15"/>
  </w:num>
  <w:num w:numId="8">
    <w:abstractNumId w:val="10"/>
  </w:num>
  <w:num w:numId="9">
    <w:abstractNumId w:val="16"/>
  </w:num>
  <w:num w:numId="10">
    <w:abstractNumId w:val="6"/>
  </w:num>
  <w:num w:numId="11">
    <w:abstractNumId w:val="7"/>
  </w:num>
  <w:num w:numId="12">
    <w:abstractNumId w:val="2"/>
  </w:num>
  <w:num w:numId="13">
    <w:abstractNumId w:val="9"/>
  </w:num>
  <w:num w:numId="14">
    <w:abstractNumId w:val="14"/>
  </w:num>
  <w:num w:numId="15">
    <w:abstractNumId w:val="4"/>
  </w:num>
  <w:num w:numId="16">
    <w:abstractNumId w:val="18"/>
  </w:num>
  <w:num w:numId="17">
    <w:abstractNumId w:val="13"/>
  </w:num>
  <w:num w:numId="18">
    <w:abstractNumId w:val="19"/>
  </w:num>
  <w:num w:numId="19">
    <w:abstractNumId w:val="5"/>
  </w:num>
  <w:num w:numId="20">
    <w:abstractNumId w:val="0"/>
  </w:num>
  <w:num w:numId="2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3A4B"/>
    <w:rsid w:val="00315B13"/>
    <w:rsid w:val="00317B06"/>
    <w:rsid w:val="00320495"/>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16AE"/>
    <w:rsid w:val="00463025"/>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32713"/>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6CA8"/>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28E4"/>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2317"/>
    <w:rsid w:val="00BD314D"/>
    <w:rsid w:val="00BE1AAF"/>
    <w:rsid w:val="00BE2524"/>
    <w:rsid w:val="00BF0299"/>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46F4F"/>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152256078">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ED1E-B960-4B7E-B4E9-73D351D9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1663</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14</cp:revision>
  <cp:lastPrinted>2015-02-27T14:25:00Z</cp:lastPrinted>
  <dcterms:created xsi:type="dcterms:W3CDTF">2018-02-08T05:18:00Z</dcterms:created>
  <dcterms:modified xsi:type="dcterms:W3CDTF">2018-02-18T11:30:00Z</dcterms:modified>
</cp:coreProperties>
</file>