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14"/>
        <w:rPr>
          <w:rFonts w:ascii="Times New Roman"/>
          <w:sz w:val="20"/>
        </w:rPr>
      </w:pPr>
      <w:r>
        <w:rPr>
          <w:rFonts w:ascii="Times New Roman"/>
          <w:sz w:val="20"/>
        </w:rPr>
        <w:drawing>
          <wp:inline distT="0" distB="0" distL="0" distR="0">
            <wp:extent cx="953720" cy="795527"/>
            <wp:effectExtent l="0" t="0" r="0" b="0"/>
            <wp:docPr id="1" name="image1.jpeg" descr="image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3720" cy="795527"/>
                    </a:xfrm>
                    <a:prstGeom prst="rect">
                      <a:avLst/>
                    </a:prstGeom>
                  </pic:spPr>
                </pic:pic>
              </a:graphicData>
            </a:graphic>
          </wp:inline>
        </w:drawing>
      </w:r>
      <w:r>
        <w:rPr>
          <w:rFonts w:ascii="Times New Roman"/>
          <w:sz w:val="20"/>
        </w:rPr>
      </w:r>
    </w:p>
    <w:p>
      <w:pPr>
        <w:pStyle w:val="Heading1"/>
        <w:spacing w:line="276" w:lineRule="auto" w:before="124"/>
        <w:ind w:left="2947" w:right="1690" w:hanging="1268"/>
      </w:pPr>
      <w:r>
        <w:rPr/>
        <w:t>MINISTRY: PUBLIC SERVICE AND ADMINISTRATION REPUBLIC OF SOUTH AFRICA</w:t>
      </w:r>
    </w:p>
    <w:p>
      <w:pPr>
        <w:pStyle w:val="BodyText"/>
        <w:rPr>
          <w:b/>
          <w:sz w:val="26"/>
        </w:rPr>
      </w:pPr>
    </w:p>
    <w:p>
      <w:pPr>
        <w:pStyle w:val="BodyText"/>
        <w:spacing w:before="3"/>
        <w:rPr>
          <w:b/>
          <w:sz w:val="29"/>
        </w:rPr>
      </w:pPr>
    </w:p>
    <w:p>
      <w:pPr>
        <w:spacing w:line="552" w:lineRule="auto" w:before="0"/>
        <w:ind w:left="100" w:right="5456" w:firstLine="0"/>
        <w:jc w:val="left"/>
        <w:rPr>
          <w:b/>
          <w:sz w:val="24"/>
        </w:rPr>
      </w:pPr>
      <w:r>
        <w:rPr>
          <w:b/>
          <w:sz w:val="24"/>
        </w:rPr>
        <w:t>NATIONAL ASSEMBLY QUESTION FOR WRITTEN REPLY</w:t>
      </w:r>
    </w:p>
    <w:p>
      <w:pPr>
        <w:tabs>
          <w:tab w:pos="2260" w:val="left" w:leader="none"/>
        </w:tabs>
        <w:spacing w:before="0"/>
        <w:ind w:left="100" w:right="0" w:firstLine="0"/>
        <w:jc w:val="left"/>
        <w:rPr>
          <w:b/>
          <w:sz w:val="24"/>
        </w:rPr>
      </w:pPr>
      <w:r>
        <w:rPr>
          <w:b/>
          <w:sz w:val="24"/>
        </w:rPr>
        <w:t>DATE:</w:t>
        <w:tab/>
        <w:t>3 DECEMBER 2021</w:t>
      </w:r>
    </w:p>
    <w:p>
      <w:pPr>
        <w:pStyle w:val="BodyText"/>
        <w:spacing w:before="4"/>
        <w:rPr>
          <w:b/>
          <w:sz w:val="31"/>
        </w:rPr>
      </w:pPr>
    </w:p>
    <w:p>
      <w:pPr>
        <w:tabs>
          <w:tab w:pos="2260" w:val="left" w:leader="none"/>
        </w:tabs>
        <w:spacing w:before="0"/>
        <w:ind w:left="100" w:right="0" w:firstLine="0"/>
        <w:jc w:val="left"/>
        <w:rPr>
          <w:b/>
          <w:sz w:val="24"/>
        </w:rPr>
      </w:pPr>
      <w:r>
        <w:rPr>
          <w:b/>
          <w:sz w:val="24"/>
        </w:rPr>
        <w:t>QUESTION</w:t>
      </w:r>
      <w:r>
        <w:rPr>
          <w:b/>
          <w:spacing w:val="-1"/>
          <w:sz w:val="24"/>
        </w:rPr>
        <w:t> </w:t>
      </w:r>
      <w:r>
        <w:rPr>
          <w:b/>
          <w:sz w:val="24"/>
        </w:rPr>
        <w:t>NO.:</w:t>
        <w:tab/>
        <w:t>2699.</w:t>
      </w:r>
    </w:p>
    <w:p>
      <w:pPr>
        <w:pStyle w:val="BodyText"/>
        <w:spacing w:before="9"/>
        <w:rPr>
          <w:b/>
          <w:sz w:val="27"/>
        </w:rPr>
      </w:pPr>
    </w:p>
    <w:p>
      <w:pPr>
        <w:spacing w:before="0"/>
        <w:ind w:left="100" w:right="0" w:firstLine="0"/>
        <w:jc w:val="left"/>
        <w:rPr>
          <w:b/>
          <w:sz w:val="24"/>
        </w:rPr>
      </w:pPr>
      <w:r>
        <w:rPr>
          <w:b/>
          <w:sz w:val="24"/>
        </w:rPr>
        <w:t>Dr M M Gondwe (DA) to ask the Minister of Public Service and Administration:</w:t>
      </w:r>
    </w:p>
    <w:p>
      <w:pPr>
        <w:pStyle w:val="BodyText"/>
        <w:spacing w:before="2"/>
        <w:rPr>
          <w:b/>
        </w:rPr>
      </w:pPr>
    </w:p>
    <w:p>
      <w:pPr>
        <w:pStyle w:val="ListParagraph"/>
        <w:numPr>
          <w:ilvl w:val="0"/>
          <w:numId w:val="1"/>
        </w:numPr>
        <w:tabs>
          <w:tab w:pos="809" w:val="left" w:leader="none"/>
        </w:tabs>
        <w:spacing w:line="240" w:lineRule="auto" w:before="0" w:after="0"/>
        <w:ind w:left="808" w:right="122" w:hanging="708"/>
        <w:jc w:val="both"/>
        <w:rPr>
          <w:sz w:val="24"/>
        </w:rPr>
      </w:pPr>
      <w:r>
        <w:rPr>
          <w:sz w:val="24"/>
        </w:rPr>
        <w:t>Whether</w:t>
      </w:r>
      <w:r>
        <w:rPr>
          <w:spacing w:val="-19"/>
          <w:sz w:val="24"/>
        </w:rPr>
        <w:t> </w:t>
      </w:r>
      <w:r>
        <w:rPr>
          <w:sz w:val="24"/>
        </w:rPr>
        <w:t>her</w:t>
      </w:r>
      <w:r>
        <w:rPr>
          <w:spacing w:val="-19"/>
          <w:sz w:val="24"/>
        </w:rPr>
        <w:t> </w:t>
      </w:r>
      <w:r>
        <w:rPr>
          <w:sz w:val="24"/>
        </w:rPr>
        <w:t>department</w:t>
      </w:r>
      <w:r>
        <w:rPr>
          <w:spacing w:val="-17"/>
          <w:sz w:val="24"/>
        </w:rPr>
        <w:t> </w:t>
      </w:r>
      <w:r>
        <w:rPr>
          <w:sz w:val="24"/>
        </w:rPr>
        <w:t>has</w:t>
      </w:r>
      <w:r>
        <w:rPr>
          <w:spacing w:val="-19"/>
          <w:sz w:val="24"/>
        </w:rPr>
        <w:t> </w:t>
      </w:r>
      <w:r>
        <w:rPr>
          <w:sz w:val="24"/>
        </w:rPr>
        <w:t>the</w:t>
      </w:r>
      <w:r>
        <w:rPr>
          <w:spacing w:val="-17"/>
          <w:sz w:val="24"/>
        </w:rPr>
        <w:t> </w:t>
      </w:r>
      <w:r>
        <w:rPr>
          <w:sz w:val="24"/>
        </w:rPr>
        <w:t>capacity</w:t>
      </w:r>
      <w:r>
        <w:rPr>
          <w:spacing w:val="-21"/>
          <w:sz w:val="24"/>
        </w:rPr>
        <w:t> </w:t>
      </w:r>
      <w:r>
        <w:rPr>
          <w:sz w:val="24"/>
        </w:rPr>
        <w:t>to</w:t>
      </w:r>
      <w:r>
        <w:rPr>
          <w:spacing w:val="-18"/>
          <w:sz w:val="24"/>
        </w:rPr>
        <w:t> </w:t>
      </w:r>
      <w:r>
        <w:rPr>
          <w:sz w:val="24"/>
        </w:rPr>
        <w:t>conduct</w:t>
      </w:r>
      <w:r>
        <w:rPr>
          <w:spacing w:val="-17"/>
          <w:sz w:val="24"/>
        </w:rPr>
        <w:t> </w:t>
      </w:r>
      <w:r>
        <w:rPr>
          <w:sz w:val="24"/>
        </w:rPr>
        <w:t>and/or</w:t>
      </w:r>
      <w:r>
        <w:rPr>
          <w:spacing w:val="-19"/>
          <w:sz w:val="24"/>
        </w:rPr>
        <w:t> </w:t>
      </w:r>
      <w:r>
        <w:rPr>
          <w:sz w:val="24"/>
        </w:rPr>
        <w:t>roll</w:t>
      </w:r>
      <w:r>
        <w:rPr>
          <w:spacing w:val="-18"/>
          <w:sz w:val="24"/>
        </w:rPr>
        <w:t> </w:t>
      </w:r>
      <w:r>
        <w:rPr>
          <w:sz w:val="24"/>
        </w:rPr>
        <w:t>out</w:t>
      </w:r>
      <w:r>
        <w:rPr>
          <w:spacing w:val="-18"/>
          <w:sz w:val="24"/>
        </w:rPr>
        <w:t> </w:t>
      </w:r>
      <w:r>
        <w:rPr>
          <w:sz w:val="24"/>
        </w:rPr>
        <w:t>lifestyle</w:t>
      </w:r>
      <w:r>
        <w:rPr>
          <w:spacing w:val="-17"/>
          <w:sz w:val="24"/>
        </w:rPr>
        <w:t> </w:t>
      </w:r>
      <w:r>
        <w:rPr>
          <w:sz w:val="24"/>
        </w:rPr>
        <w:t>audits in the various government departments; if not, on what dates are the lifestyle audits likely to be conducted and/or rolled out in the various government departments;</w:t>
      </w:r>
      <w:r>
        <w:rPr>
          <w:spacing w:val="-14"/>
          <w:sz w:val="24"/>
        </w:rPr>
        <w:t> </w:t>
      </w:r>
      <w:r>
        <w:rPr>
          <w:sz w:val="24"/>
        </w:rPr>
        <w:t>if</w:t>
      </w:r>
      <w:r>
        <w:rPr>
          <w:spacing w:val="-10"/>
          <w:sz w:val="24"/>
        </w:rPr>
        <w:t> </w:t>
      </w:r>
      <w:r>
        <w:rPr>
          <w:sz w:val="24"/>
        </w:rPr>
        <w:t>so,</w:t>
      </w:r>
      <w:r>
        <w:rPr>
          <w:spacing w:val="-13"/>
          <w:sz w:val="24"/>
        </w:rPr>
        <w:t> </w:t>
      </w:r>
      <w:r>
        <w:rPr>
          <w:sz w:val="24"/>
        </w:rPr>
        <w:t>on</w:t>
      </w:r>
      <w:r>
        <w:rPr>
          <w:spacing w:val="-16"/>
          <w:sz w:val="24"/>
        </w:rPr>
        <w:t> </w:t>
      </w:r>
      <w:r>
        <w:rPr>
          <w:sz w:val="24"/>
        </w:rPr>
        <w:t>what</w:t>
      </w:r>
      <w:r>
        <w:rPr>
          <w:spacing w:val="-12"/>
          <w:sz w:val="24"/>
        </w:rPr>
        <w:t> </w:t>
      </w:r>
      <w:r>
        <w:rPr>
          <w:sz w:val="24"/>
        </w:rPr>
        <w:t>dates</w:t>
      </w:r>
      <w:r>
        <w:rPr>
          <w:spacing w:val="-14"/>
          <w:sz w:val="24"/>
        </w:rPr>
        <w:t> </w:t>
      </w:r>
      <w:r>
        <w:rPr>
          <w:sz w:val="24"/>
        </w:rPr>
        <w:t>have</w:t>
      </w:r>
      <w:r>
        <w:rPr>
          <w:spacing w:val="-12"/>
          <w:sz w:val="24"/>
        </w:rPr>
        <w:t> </w:t>
      </w:r>
      <w:r>
        <w:rPr>
          <w:sz w:val="24"/>
        </w:rPr>
        <w:t>the</w:t>
      </w:r>
      <w:r>
        <w:rPr>
          <w:spacing w:val="-13"/>
          <w:sz w:val="24"/>
        </w:rPr>
        <w:t> </w:t>
      </w:r>
      <w:r>
        <w:rPr>
          <w:sz w:val="24"/>
        </w:rPr>
        <w:t>lifestyle</w:t>
      </w:r>
      <w:r>
        <w:rPr>
          <w:spacing w:val="-12"/>
          <w:sz w:val="24"/>
        </w:rPr>
        <w:t> </w:t>
      </w:r>
      <w:r>
        <w:rPr>
          <w:sz w:val="24"/>
        </w:rPr>
        <w:t>audits</w:t>
      </w:r>
      <w:r>
        <w:rPr>
          <w:spacing w:val="-15"/>
          <w:sz w:val="24"/>
        </w:rPr>
        <w:t> </w:t>
      </w:r>
      <w:r>
        <w:rPr>
          <w:sz w:val="24"/>
        </w:rPr>
        <w:t>been</w:t>
      </w:r>
      <w:r>
        <w:rPr>
          <w:spacing w:val="-11"/>
          <w:sz w:val="24"/>
        </w:rPr>
        <w:t> </w:t>
      </w:r>
      <w:r>
        <w:rPr>
          <w:sz w:val="24"/>
        </w:rPr>
        <w:t>conducted</w:t>
      </w:r>
      <w:r>
        <w:rPr>
          <w:spacing w:val="-14"/>
          <w:sz w:val="24"/>
        </w:rPr>
        <w:t> </w:t>
      </w:r>
      <w:r>
        <w:rPr>
          <w:sz w:val="24"/>
        </w:rPr>
        <w:t>and/or rolled out by her department in the various government</w:t>
      </w:r>
      <w:r>
        <w:rPr>
          <w:spacing w:val="-15"/>
          <w:sz w:val="24"/>
        </w:rPr>
        <w:t> </w:t>
      </w:r>
      <w:r>
        <w:rPr>
          <w:sz w:val="24"/>
        </w:rPr>
        <w:t>departments;</w:t>
      </w:r>
    </w:p>
    <w:p>
      <w:pPr>
        <w:pStyle w:val="BodyText"/>
        <w:spacing w:before="5"/>
      </w:pPr>
    </w:p>
    <w:p>
      <w:pPr>
        <w:pStyle w:val="ListParagraph"/>
        <w:numPr>
          <w:ilvl w:val="0"/>
          <w:numId w:val="1"/>
        </w:numPr>
        <w:tabs>
          <w:tab w:pos="809" w:val="left" w:leader="none"/>
          <w:tab w:pos="8021" w:val="left" w:leader="none"/>
        </w:tabs>
        <w:spacing w:line="240" w:lineRule="auto" w:before="1" w:after="0"/>
        <w:ind w:left="808" w:right="119" w:hanging="708"/>
        <w:jc w:val="both"/>
        <w:rPr>
          <w:b/>
          <w:sz w:val="24"/>
        </w:rPr>
      </w:pPr>
      <w:r>
        <w:rPr>
          <w:sz w:val="24"/>
        </w:rPr>
        <w:t>whether any Public Service employees have been subjected to lifestyle audits</w:t>
      </w:r>
      <w:r>
        <w:rPr>
          <w:spacing w:val="-36"/>
          <w:sz w:val="24"/>
        </w:rPr>
        <w:t> </w:t>
      </w:r>
      <w:r>
        <w:rPr>
          <w:spacing w:val="4"/>
          <w:sz w:val="24"/>
        </w:rPr>
        <w:t>in </w:t>
      </w:r>
      <w:r>
        <w:rPr>
          <w:sz w:val="24"/>
        </w:rPr>
        <w:t>this regard; if not, why not; if so, what (a) total number of Public Service employees have been subjected to lifestyle audits and (b) are some of the outcomes of the</w:t>
      </w:r>
      <w:r>
        <w:rPr>
          <w:spacing w:val="-8"/>
          <w:sz w:val="24"/>
        </w:rPr>
        <w:t> </w:t>
      </w:r>
      <w:r>
        <w:rPr>
          <w:sz w:val="24"/>
        </w:rPr>
        <w:t>lifestyle audits?</w:t>
        <w:tab/>
      </w:r>
      <w:r>
        <w:rPr>
          <w:b/>
          <w:sz w:val="24"/>
        </w:rPr>
        <w:t>NW3212E</w:t>
      </w:r>
    </w:p>
    <w:p>
      <w:pPr>
        <w:pStyle w:val="BodyText"/>
        <w:rPr>
          <w:b/>
          <w:sz w:val="26"/>
        </w:rPr>
      </w:pPr>
    </w:p>
    <w:p>
      <w:pPr>
        <w:pStyle w:val="BodyText"/>
        <w:spacing w:before="2"/>
        <w:rPr>
          <w:b/>
          <w:sz w:val="22"/>
        </w:rPr>
      </w:pPr>
    </w:p>
    <w:p>
      <w:pPr>
        <w:spacing w:before="0"/>
        <w:ind w:left="100" w:right="0" w:firstLine="0"/>
        <w:jc w:val="left"/>
        <w:rPr>
          <w:b/>
          <w:sz w:val="24"/>
        </w:rPr>
      </w:pPr>
      <w:r>
        <w:rPr>
          <w:b/>
          <w:sz w:val="24"/>
          <w:u w:val="thick"/>
        </w:rPr>
        <w:t>REPLY:</w:t>
      </w:r>
    </w:p>
    <w:p>
      <w:pPr>
        <w:pStyle w:val="BodyText"/>
        <w:rPr>
          <w:b/>
          <w:sz w:val="16"/>
        </w:rPr>
      </w:pPr>
    </w:p>
    <w:p>
      <w:pPr>
        <w:pStyle w:val="ListParagraph"/>
        <w:numPr>
          <w:ilvl w:val="1"/>
          <w:numId w:val="1"/>
        </w:numPr>
        <w:tabs>
          <w:tab w:pos="821" w:val="left" w:leader="none"/>
        </w:tabs>
        <w:spacing w:line="240" w:lineRule="auto" w:before="92" w:after="0"/>
        <w:ind w:left="820" w:right="117" w:hanging="360"/>
        <w:jc w:val="both"/>
        <w:rPr>
          <w:sz w:val="24"/>
        </w:rPr>
      </w:pPr>
      <w:r>
        <w:rPr>
          <w:sz w:val="24"/>
        </w:rPr>
        <w:t>The conducting and/or roll out of lifestyle audits are, in terms of regulation 22 of the Public Service Regulations, 2016, the responsibility of departments. Within departments, ethics officers and investigators are required to perform the required stages of lifestyle audits (lifestyle review and lifestyle investigation). In terms of the Public Service Regulations, 2016, departments have to designate Ethics Officers to manage ethics, and in terms of the Minimum Anti-Corruption Requirements,</w:t>
      </w:r>
      <w:r>
        <w:rPr>
          <w:spacing w:val="-19"/>
          <w:sz w:val="24"/>
        </w:rPr>
        <w:t> </w:t>
      </w:r>
      <w:r>
        <w:rPr>
          <w:sz w:val="24"/>
        </w:rPr>
        <w:t>departments</w:t>
      </w:r>
      <w:r>
        <w:rPr>
          <w:spacing w:val="-18"/>
          <w:sz w:val="24"/>
        </w:rPr>
        <w:t> </w:t>
      </w:r>
      <w:r>
        <w:rPr>
          <w:sz w:val="24"/>
        </w:rPr>
        <w:t>have</w:t>
      </w:r>
      <w:r>
        <w:rPr>
          <w:spacing w:val="-16"/>
          <w:sz w:val="24"/>
        </w:rPr>
        <w:t> </w:t>
      </w:r>
      <w:r>
        <w:rPr>
          <w:sz w:val="24"/>
        </w:rPr>
        <w:t>to</w:t>
      </w:r>
      <w:r>
        <w:rPr>
          <w:spacing w:val="-17"/>
          <w:sz w:val="24"/>
        </w:rPr>
        <w:t> </w:t>
      </w:r>
      <w:r>
        <w:rPr>
          <w:sz w:val="24"/>
        </w:rPr>
        <w:t>investigators</w:t>
      </w:r>
      <w:r>
        <w:rPr>
          <w:spacing w:val="-19"/>
          <w:sz w:val="24"/>
        </w:rPr>
        <w:t> </w:t>
      </w:r>
      <w:r>
        <w:rPr>
          <w:sz w:val="24"/>
        </w:rPr>
        <w:t>and</w:t>
      </w:r>
      <w:r>
        <w:rPr>
          <w:spacing w:val="-18"/>
          <w:sz w:val="24"/>
        </w:rPr>
        <w:t> </w:t>
      </w:r>
      <w:r>
        <w:rPr>
          <w:sz w:val="24"/>
        </w:rPr>
        <w:t>a</w:t>
      </w:r>
      <w:r>
        <w:rPr>
          <w:spacing w:val="-18"/>
          <w:sz w:val="24"/>
        </w:rPr>
        <w:t> </w:t>
      </w:r>
      <w:r>
        <w:rPr>
          <w:sz w:val="24"/>
        </w:rPr>
        <w:t>dedicated</w:t>
      </w:r>
      <w:r>
        <w:rPr>
          <w:spacing w:val="-18"/>
          <w:sz w:val="24"/>
        </w:rPr>
        <w:t> </w:t>
      </w:r>
      <w:r>
        <w:rPr>
          <w:sz w:val="24"/>
        </w:rPr>
        <w:t>anti-corruption capacity. This is not a new requirement, so departments do have an established ethics management and anti-corruption</w:t>
      </w:r>
      <w:r>
        <w:rPr>
          <w:spacing w:val="-8"/>
          <w:sz w:val="24"/>
        </w:rPr>
        <w:t> </w:t>
      </w:r>
      <w:r>
        <w:rPr>
          <w:sz w:val="24"/>
        </w:rPr>
        <w:t>capacity.</w:t>
      </w:r>
    </w:p>
    <w:p>
      <w:pPr>
        <w:pStyle w:val="BodyText"/>
        <w:spacing w:before="1"/>
      </w:pPr>
    </w:p>
    <w:p>
      <w:pPr>
        <w:pStyle w:val="BodyText"/>
        <w:ind w:left="820" w:right="122"/>
        <w:jc w:val="both"/>
      </w:pPr>
      <w:r>
        <w:rPr/>
        <w:t>The</w:t>
      </w:r>
      <w:r>
        <w:rPr>
          <w:spacing w:val="-6"/>
        </w:rPr>
        <w:t> </w:t>
      </w:r>
      <w:r>
        <w:rPr/>
        <w:t>Public</w:t>
      </w:r>
      <w:r>
        <w:rPr>
          <w:spacing w:val="-7"/>
        </w:rPr>
        <w:t> </w:t>
      </w:r>
      <w:r>
        <w:rPr/>
        <w:t>Administration</w:t>
      </w:r>
      <w:r>
        <w:rPr>
          <w:spacing w:val="-5"/>
        </w:rPr>
        <w:t> </w:t>
      </w:r>
      <w:r>
        <w:rPr/>
        <w:t>Ethics,</w:t>
      </w:r>
      <w:r>
        <w:rPr>
          <w:spacing w:val="-7"/>
        </w:rPr>
        <w:t> </w:t>
      </w:r>
      <w:r>
        <w:rPr/>
        <w:t>Integrity</w:t>
      </w:r>
      <w:r>
        <w:rPr>
          <w:spacing w:val="-5"/>
        </w:rPr>
        <w:t> </w:t>
      </w:r>
      <w:r>
        <w:rPr/>
        <w:t>and</w:t>
      </w:r>
      <w:r>
        <w:rPr>
          <w:spacing w:val="-6"/>
        </w:rPr>
        <w:t> </w:t>
      </w:r>
      <w:r>
        <w:rPr/>
        <w:t>Disciplinary</w:t>
      </w:r>
      <w:r>
        <w:rPr>
          <w:spacing w:val="-6"/>
        </w:rPr>
        <w:t> </w:t>
      </w:r>
      <w:r>
        <w:rPr/>
        <w:t>Technical</w:t>
      </w:r>
      <w:r>
        <w:rPr>
          <w:spacing w:val="-9"/>
        </w:rPr>
        <w:t> </w:t>
      </w:r>
      <w:r>
        <w:rPr/>
        <w:t>Assistance Unit (PAEIDTAU), in terms of Section 15 of the Public Administration Management Act, 2014, has the function to monitor the implementation of lifestyle audits. This Unit does not have an investigative mandate, so it will not conduct lifestyle</w:t>
      </w:r>
      <w:r>
        <w:rPr>
          <w:spacing w:val="-1"/>
        </w:rPr>
        <w:t> </w:t>
      </w:r>
      <w:r>
        <w:rPr/>
        <w:t>audits.</w:t>
      </w:r>
    </w:p>
    <w:p>
      <w:pPr>
        <w:spacing w:after="0"/>
        <w:jc w:val="both"/>
        <w:sectPr>
          <w:type w:val="continuous"/>
          <w:pgSz w:w="11910" w:h="16840"/>
          <w:pgMar w:top="1120" w:bottom="280" w:left="1340" w:right="1140"/>
        </w:sectPr>
      </w:pPr>
    </w:p>
    <w:p>
      <w:pPr>
        <w:pStyle w:val="BodyText"/>
        <w:spacing w:before="75"/>
        <w:ind w:left="820" w:right="121"/>
        <w:jc w:val="both"/>
      </w:pPr>
      <w:r>
        <w:rPr/>
        <w:t>Lifestyle audits became compulsory from 1 April 2021. To assist departments, the PDSA adopted a </w:t>
      </w:r>
      <w:r>
        <w:rPr>
          <w:i/>
        </w:rPr>
        <w:t>Guide on implementing lifestyle audits </w:t>
      </w:r>
      <w:r>
        <w:rPr/>
        <w:t>and started with awareness raising and the training of ethics officers.</w:t>
      </w:r>
    </w:p>
    <w:p>
      <w:pPr>
        <w:pStyle w:val="BodyText"/>
      </w:pPr>
    </w:p>
    <w:p>
      <w:pPr>
        <w:pStyle w:val="BodyText"/>
        <w:ind w:left="820" w:right="127"/>
        <w:jc w:val="both"/>
      </w:pPr>
      <w:r>
        <w:rPr/>
        <w:t>Lifestyle audits could commence after Senior Management Members disclosed their</w:t>
      </w:r>
      <w:r>
        <w:rPr>
          <w:spacing w:val="-15"/>
        </w:rPr>
        <w:t> </w:t>
      </w:r>
      <w:r>
        <w:rPr/>
        <w:t>financial</w:t>
      </w:r>
      <w:r>
        <w:rPr>
          <w:spacing w:val="-11"/>
        </w:rPr>
        <w:t> </w:t>
      </w:r>
      <w:r>
        <w:rPr/>
        <w:t>interests</w:t>
      </w:r>
      <w:r>
        <w:rPr>
          <w:spacing w:val="-13"/>
        </w:rPr>
        <w:t> </w:t>
      </w:r>
      <w:r>
        <w:rPr/>
        <w:t>in</w:t>
      </w:r>
      <w:r>
        <w:rPr>
          <w:spacing w:val="-10"/>
        </w:rPr>
        <w:t> </w:t>
      </w:r>
      <w:r>
        <w:rPr/>
        <w:t>April</w:t>
      </w:r>
      <w:r>
        <w:rPr>
          <w:spacing w:val="-11"/>
        </w:rPr>
        <w:t> </w:t>
      </w:r>
      <w:r>
        <w:rPr/>
        <w:t>(every</w:t>
      </w:r>
      <w:r>
        <w:rPr>
          <w:spacing w:val="-12"/>
        </w:rPr>
        <w:t> </w:t>
      </w:r>
      <w:r>
        <w:rPr/>
        <w:t>year)</w:t>
      </w:r>
      <w:r>
        <w:rPr>
          <w:spacing w:val="-12"/>
        </w:rPr>
        <w:t> </w:t>
      </w:r>
      <w:r>
        <w:rPr/>
        <w:t>on</w:t>
      </w:r>
      <w:r>
        <w:rPr>
          <w:spacing w:val="-10"/>
        </w:rPr>
        <w:t> </w:t>
      </w:r>
      <w:r>
        <w:rPr/>
        <w:t>the</w:t>
      </w:r>
      <w:r>
        <w:rPr>
          <w:spacing w:val="-11"/>
        </w:rPr>
        <w:t> </w:t>
      </w:r>
      <w:r>
        <w:rPr/>
        <w:t>eDisclosure</w:t>
      </w:r>
      <w:r>
        <w:rPr>
          <w:spacing w:val="-10"/>
        </w:rPr>
        <w:t> </w:t>
      </w:r>
      <w:r>
        <w:rPr/>
        <w:t>system,</w:t>
      </w:r>
      <w:r>
        <w:rPr>
          <w:spacing w:val="-11"/>
        </w:rPr>
        <w:t> </w:t>
      </w:r>
      <w:r>
        <w:rPr/>
        <w:t>and</w:t>
      </w:r>
      <w:r>
        <w:rPr>
          <w:spacing w:val="-10"/>
        </w:rPr>
        <w:t> </w:t>
      </w:r>
      <w:r>
        <w:rPr/>
        <w:t>when the other designated categories did the same in June and July (of every year). The lifestyle audit process is dependent on the disclosure of financial interests on the eDisclosure</w:t>
      </w:r>
      <w:r>
        <w:rPr>
          <w:spacing w:val="-3"/>
        </w:rPr>
        <w:t> </w:t>
      </w:r>
      <w:r>
        <w:rPr/>
        <w:t>system.</w:t>
      </w:r>
    </w:p>
    <w:p>
      <w:pPr>
        <w:pStyle w:val="BodyText"/>
      </w:pPr>
    </w:p>
    <w:p>
      <w:pPr>
        <w:pStyle w:val="ListParagraph"/>
        <w:numPr>
          <w:ilvl w:val="1"/>
          <w:numId w:val="1"/>
        </w:numPr>
        <w:tabs>
          <w:tab w:pos="821" w:val="left" w:leader="none"/>
        </w:tabs>
        <w:spacing w:line="240" w:lineRule="auto" w:before="0" w:after="0"/>
        <w:ind w:left="820" w:right="127" w:hanging="360"/>
        <w:jc w:val="both"/>
        <w:rPr>
          <w:sz w:val="24"/>
        </w:rPr>
      </w:pPr>
      <w:r>
        <w:rPr>
          <w:sz w:val="24"/>
        </w:rPr>
        <w:t>The PAEIDTAU is not aware whether any Public Service employees have been subjected to lifestyle audits. Departments have until the end of March 2022 to conduct lifestyle audits for the current financial</w:t>
      </w:r>
      <w:r>
        <w:rPr>
          <w:spacing w:val="-8"/>
          <w:sz w:val="24"/>
        </w:rPr>
        <w:t> </w:t>
      </w:r>
      <w:r>
        <w:rPr>
          <w:sz w:val="24"/>
        </w:rPr>
        <w:t>year.</w:t>
      </w:r>
    </w:p>
    <w:p>
      <w:pPr>
        <w:pStyle w:val="BodyText"/>
        <w:spacing w:before="1"/>
        <w:rPr>
          <w:sz w:val="16"/>
        </w:rPr>
      </w:pPr>
    </w:p>
    <w:p>
      <w:pPr>
        <w:spacing w:after="0"/>
        <w:rPr>
          <w:sz w:val="16"/>
        </w:rPr>
        <w:sectPr>
          <w:pgSz w:w="11910" w:h="16840"/>
          <w:pgMar w:top="1040" w:bottom="280" w:left="1340" w:right="114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pPr>
    </w:p>
    <w:p>
      <w:pPr>
        <w:pStyle w:val="BodyText"/>
        <w:ind w:left="100"/>
      </w:pPr>
      <w:r>
        <w:rPr/>
        <w:t>End</w:t>
      </w:r>
    </w:p>
    <w:p>
      <w:pPr>
        <w:pStyle w:val="BodyText"/>
        <w:spacing w:before="92"/>
        <w:ind w:left="100" w:right="119"/>
        <w:jc w:val="both"/>
      </w:pPr>
      <w:r>
        <w:rPr/>
        <w:br w:type="column"/>
      </w:r>
      <w:r>
        <w:rPr/>
        <w:t>The number of employees subjected to lifestyle audits and the outcomes of the process will only be known at the end of January 2022. In a Circular dated 25 October 2021 addressed to all departments and government components, departments</w:t>
      </w:r>
      <w:r>
        <w:rPr>
          <w:spacing w:val="-11"/>
        </w:rPr>
        <w:t> </w:t>
      </w:r>
      <w:r>
        <w:rPr/>
        <w:t>were</w:t>
      </w:r>
      <w:r>
        <w:rPr>
          <w:spacing w:val="-10"/>
        </w:rPr>
        <w:t> </w:t>
      </w:r>
      <w:r>
        <w:rPr/>
        <w:t>requested</w:t>
      </w:r>
      <w:r>
        <w:rPr>
          <w:spacing w:val="-11"/>
        </w:rPr>
        <w:t> </w:t>
      </w:r>
      <w:r>
        <w:rPr/>
        <w:t>to</w:t>
      </w:r>
      <w:r>
        <w:rPr>
          <w:spacing w:val="-11"/>
        </w:rPr>
        <w:t> </w:t>
      </w:r>
      <w:r>
        <w:rPr/>
        <w:t>provide</w:t>
      </w:r>
      <w:r>
        <w:rPr>
          <w:spacing w:val="-10"/>
        </w:rPr>
        <w:t> </w:t>
      </w:r>
      <w:r>
        <w:rPr/>
        <w:t>feedback</w:t>
      </w:r>
      <w:r>
        <w:rPr>
          <w:spacing w:val="-9"/>
        </w:rPr>
        <w:t> </w:t>
      </w:r>
      <w:r>
        <w:rPr/>
        <w:t>on</w:t>
      </w:r>
      <w:r>
        <w:rPr>
          <w:spacing w:val="-11"/>
        </w:rPr>
        <w:t> </w:t>
      </w:r>
      <w:r>
        <w:rPr/>
        <w:t>their</w:t>
      </w:r>
      <w:r>
        <w:rPr>
          <w:spacing w:val="-13"/>
        </w:rPr>
        <w:t> </w:t>
      </w:r>
      <w:r>
        <w:rPr/>
        <w:t>progress</w:t>
      </w:r>
      <w:r>
        <w:rPr>
          <w:spacing w:val="-9"/>
        </w:rPr>
        <w:t> </w:t>
      </w:r>
      <w:r>
        <w:rPr/>
        <w:t>regarding</w:t>
      </w:r>
      <w:r>
        <w:rPr>
          <w:spacing w:val="-10"/>
        </w:rPr>
        <w:t> </w:t>
      </w:r>
      <w:r>
        <w:rPr/>
        <w:t>the implementation of the Guide to the PAEIDTAU, by the end of January</w:t>
      </w:r>
      <w:r>
        <w:rPr>
          <w:spacing w:val="-23"/>
        </w:rPr>
        <w:t> </w:t>
      </w:r>
      <w:r>
        <w:rPr/>
        <w:t>2022.</w:t>
      </w:r>
    </w:p>
    <w:sectPr>
      <w:type w:val="continuous"/>
      <w:pgSz w:w="11910" w:h="16840"/>
      <w:pgMar w:top="1120" w:bottom="280" w:left="1340" w:right="1140"/>
      <w:cols w:num="2" w:equalWidth="0">
        <w:col w:w="569" w:space="151"/>
        <w:col w:w="87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08" w:hanging="708"/>
        <w:jc w:val="left"/>
      </w:pPr>
      <w:rPr>
        <w:rFonts w:hint="default" w:ascii="Arial" w:hAnsi="Arial" w:eastAsia="Arial" w:cs="Arial"/>
        <w:w w:val="99"/>
        <w:sz w:val="24"/>
        <w:szCs w:val="24"/>
        <w:lang w:val="en-US" w:eastAsia="en-US" w:bidi="en-US"/>
      </w:rPr>
    </w:lvl>
    <w:lvl w:ilvl="1">
      <w:start w:val="1"/>
      <w:numFmt w:val="decimal"/>
      <w:lvlText w:val="(%2)"/>
      <w:lvlJc w:val="left"/>
      <w:pPr>
        <w:ind w:left="820" w:hanging="360"/>
        <w:jc w:val="left"/>
      </w:pPr>
      <w:rPr>
        <w:rFonts w:hint="default" w:ascii="Arial" w:hAnsi="Arial" w:eastAsia="Arial" w:cs="Arial"/>
        <w:w w:val="99"/>
        <w:sz w:val="24"/>
        <w:szCs w:val="24"/>
        <w:lang w:val="en-US" w:eastAsia="en-US" w:bidi="en-US"/>
      </w:rPr>
    </w:lvl>
    <w:lvl w:ilvl="2">
      <w:start w:val="0"/>
      <w:numFmt w:val="bullet"/>
      <w:lvlText w:val="•"/>
      <w:lvlJc w:val="left"/>
      <w:pPr>
        <w:ind w:left="1776" w:hanging="360"/>
      </w:pPr>
      <w:rPr>
        <w:rFonts w:hint="default"/>
        <w:lang w:val="en-US" w:eastAsia="en-US" w:bidi="en-US"/>
      </w:rPr>
    </w:lvl>
    <w:lvl w:ilvl="3">
      <w:start w:val="0"/>
      <w:numFmt w:val="bullet"/>
      <w:lvlText w:val="•"/>
      <w:lvlJc w:val="left"/>
      <w:pPr>
        <w:ind w:left="2732" w:hanging="360"/>
      </w:pPr>
      <w:rPr>
        <w:rFonts w:hint="default"/>
        <w:lang w:val="en-US" w:eastAsia="en-US" w:bidi="en-US"/>
      </w:rPr>
    </w:lvl>
    <w:lvl w:ilvl="4">
      <w:start w:val="0"/>
      <w:numFmt w:val="bullet"/>
      <w:lvlText w:val="•"/>
      <w:lvlJc w:val="left"/>
      <w:pPr>
        <w:ind w:left="3688" w:hanging="360"/>
      </w:pPr>
      <w:rPr>
        <w:rFonts w:hint="default"/>
        <w:lang w:val="en-US" w:eastAsia="en-US" w:bidi="en-US"/>
      </w:rPr>
    </w:lvl>
    <w:lvl w:ilvl="5">
      <w:start w:val="0"/>
      <w:numFmt w:val="bullet"/>
      <w:lvlText w:val="•"/>
      <w:lvlJc w:val="left"/>
      <w:pPr>
        <w:ind w:left="4645" w:hanging="360"/>
      </w:pPr>
      <w:rPr>
        <w:rFonts w:hint="default"/>
        <w:lang w:val="en-US" w:eastAsia="en-US" w:bidi="en-US"/>
      </w:rPr>
    </w:lvl>
    <w:lvl w:ilvl="6">
      <w:start w:val="0"/>
      <w:numFmt w:val="bullet"/>
      <w:lvlText w:val="•"/>
      <w:lvlJc w:val="left"/>
      <w:pPr>
        <w:ind w:left="5601" w:hanging="360"/>
      </w:pPr>
      <w:rPr>
        <w:rFonts w:hint="default"/>
        <w:lang w:val="en-US" w:eastAsia="en-US" w:bidi="en-US"/>
      </w:rPr>
    </w:lvl>
    <w:lvl w:ilvl="7">
      <w:start w:val="0"/>
      <w:numFmt w:val="bullet"/>
      <w:lvlText w:val="•"/>
      <w:lvlJc w:val="left"/>
      <w:pPr>
        <w:ind w:left="6557" w:hanging="360"/>
      </w:pPr>
      <w:rPr>
        <w:rFonts w:hint="default"/>
        <w:lang w:val="en-US" w:eastAsia="en-US" w:bidi="en-US"/>
      </w:rPr>
    </w:lvl>
    <w:lvl w:ilvl="8">
      <w:start w:val="0"/>
      <w:numFmt w:val="bullet"/>
      <w:lvlText w:val="•"/>
      <w:lvlJc w:val="left"/>
      <w:pPr>
        <w:ind w:left="751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08" w:right="117" w:hanging="708"/>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dcterms:created xsi:type="dcterms:W3CDTF">2022-01-18T06:26:11Z</dcterms:created>
  <dcterms:modified xsi:type="dcterms:W3CDTF">2022-01-18T06:26:11Z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2022-01-18T00:00:00Z</vt:filetime>
  </property>
</Properties>
</file>