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B39C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0968C4">
        <w:rPr>
          <w:u w:val="none"/>
        </w:rPr>
        <w:t>6</w:t>
      </w:r>
      <w:r w:rsidR="0005730B">
        <w:rPr>
          <w:u w:val="none"/>
        </w:rPr>
        <w:t>99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05730B">
        <w:rPr>
          <w:rFonts w:ascii="Arial" w:hAnsi="Arial" w:cs="Arial"/>
          <w:b/>
          <w:bCs/>
        </w:rPr>
        <w:t>8</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w:t>
      </w:r>
      <w:r w:rsidR="0005730B">
        <w:rPr>
          <w:u w:val="none"/>
        </w:rPr>
        <w:t>2</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05730B" w:rsidP="00157E48">
      <w:pPr>
        <w:spacing w:line="320" w:lineRule="exact"/>
        <w:jc w:val="both"/>
        <w:rPr>
          <w:rFonts w:ascii="Arial" w:hAnsi="Arial" w:cs="Arial"/>
          <w:b/>
          <w:lang w:val="en-ZA"/>
        </w:rPr>
      </w:pPr>
      <w:r w:rsidRPr="0005730B">
        <w:rPr>
          <w:rFonts w:ascii="Arial" w:hAnsi="Arial" w:cs="Arial"/>
          <w:b/>
          <w:lang w:val="en-ZA"/>
        </w:rPr>
        <w:t>2699.</w:t>
      </w:r>
      <w:r w:rsidRPr="0005730B">
        <w:rPr>
          <w:rFonts w:ascii="Arial" w:hAnsi="Arial" w:cs="Arial"/>
          <w:b/>
          <w:lang w:val="en-ZA"/>
        </w:rPr>
        <w:tab/>
        <w:t>Mr R A Lees (DA) to ask the Minister of Home Affairs:</w:t>
      </w:r>
    </w:p>
    <w:p w:rsidR="000968C4" w:rsidRPr="00157E48" w:rsidRDefault="000968C4" w:rsidP="00157E48">
      <w:pPr>
        <w:spacing w:line="320" w:lineRule="exact"/>
        <w:jc w:val="both"/>
        <w:rPr>
          <w:rFonts w:ascii="Arial" w:hAnsi="Arial" w:cs="Arial"/>
          <w:b/>
          <w:lang w:val="en-ZA"/>
        </w:rPr>
      </w:pPr>
    </w:p>
    <w:p w:rsidR="00C02879" w:rsidRDefault="0005730B" w:rsidP="00B42809">
      <w:pPr>
        <w:spacing w:line="320" w:lineRule="exact"/>
        <w:jc w:val="both"/>
        <w:rPr>
          <w:rFonts w:ascii="Arial" w:hAnsi="Arial" w:cs="Arial"/>
          <w:lang w:val="en-US"/>
        </w:rPr>
      </w:pPr>
      <w:r w:rsidRPr="0005730B">
        <w:rPr>
          <w:rFonts w:ascii="Arial" w:hAnsi="Arial" w:cs="Arial"/>
          <w:lang w:val="en-ZA"/>
        </w:rPr>
        <w:t>(a) What is the total amount of  funding that the Independent Electoral Commission has paid to (i) political parties, (ii) independent public representatives in local government and (iii) independent election candidates (aa) in each of the past three financial years and (bb) since 1 April 2017, (b) what are the details of the methods used to determine the (i) total allocations and (ii) allocations to each political party, independent public representatives in local government and independent election candidates, (c) on what dates were the specified allocations paid and (d) what were the funds utilised for in each case?</w:t>
      </w:r>
      <w:r w:rsidRPr="0005730B">
        <w:rPr>
          <w:rFonts w:ascii="Arial" w:hAnsi="Arial" w:cs="Arial"/>
          <w:lang w:val="en-ZA"/>
        </w:rPr>
        <w:tab/>
      </w:r>
      <w:r w:rsidRPr="0005730B">
        <w:rPr>
          <w:rFonts w:ascii="Arial" w:hAnsi="Arial" w:cs="Arial"/>
          <w:lang w:val="en-ZA"/>
        </w:rPr>
        <w:tab/>
      </w:r>
      <w:r w:rsidRPr="0005730B">
        <w:rPr>
          <w:rFonts w:ascii="Arial" w:hAnsi="Arial" w:cs="Arial"/>
          <w:lang w:val="en-ZA"/>
        </w:rPr>
        <w:tab/>
      </w:r>
      <w:r w:rsidRPr="0005730B">
        <w:rPr>
          <w:rFonts w:ascii="Arial" w:hAnsi="Arial" w:cs="Arial"/>
          <w:lang w:val="en-ZA"/>
        </w:rPr>
        <w:tab/>
      </w:r>
      <w:r w:rsidRPr="0005730B">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05730B">
        <w:rPr>
          <w:rFonts w:ascii="Arial" w:hAnsi="Arial" w:cs="Arial"/>
          <w:lang w:val="en-ZA"/>
        </w:rPr>
        <w:t>NW3006E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C56A17" w:rsidRDefault="00781F01" w:rsidP="00781F01">
      <w:pPr>
        <w:tabs>
          <w:tab w:val="left" w:pos="432"/>
          <w:tab w:val="left" w:pos="864"/>
        </w:tabs>
        <w:spacing w:line="320" w:lineRule="exact"/>
        <w:ind w:left="1440" w:hanging="1440"/>
        <w:jc w:val="both"/>
        <w:rPr>
          <w:rFonts w:ascii="Arial" w:hAnsi="Arial" w:cs="Arial"/>
        </w:rPr>
      </w:pPr>
      <w:r>
        <w:rPr>
          <w:rFonts w:ascii="Arial" w:hAnsi="Arial" w:cs="Arial"/>
        </w:rPr>
        <w:t>(a)</w:t>
      </w:r>
      <w:r w:rsidR="00505931">
        <w:rPr>
          <w:rFonts w:ascii="Arial" w:hAnsi="Arial" w:cs="Arial"/>
        </w:rPr>
        <w:t>(i)(aa)</w:t>
      </w:r>
      <w:r w:rsidR="00C56A17">
        <w:rPr>
          <w:rFonts w:ascii="Arial" w:hAnsi="Arial" w:cs="Arial"/>
        </w:rPr>
        <w:tab/>
        <w:t xml:space="preserve">The information in the table below:  </w:t>
      </w:r>
    </w:p>
    <w:p w:rsidR="00C56A17" w:rsidRDefault="00505931" w:rsidP="00781F01">
      <w:pPr>
        <w:tabs>
          <w:tab w:val="left" w:pos="432"/>
          <w:tab w:val="left" w:pos="864"/>
        </w:tabs>
        <w:spacing w:line="320" w:lineRule="exact"/>
        <w:ind w:left="1440" w:hanging="1440"/>
        <w:jc w:val="both"/>
        <w:rPr>
          <w:rFonts w:ascii="Arial" w:hAnsi="Arial" w:cs="Arial"/>
        </w:rPr>
      </w:pPr>
      <w:r>
        <w:rPr>
          <w:rFonts w:ascii="Arial" w:hAnsi="Arial" w:cs="Arial"/>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889"/>
        <w:gridCol w:w="1889"/>
      </w:tblGrid>
      <w:tr w:rsidR="00C56A17" w:rsidRPr="00002E71" w:rsidTr="00002E71">
        <w:tc>
          <w:tcPr>
            <w:tcW w:w="1889" w:type="dxa"/>
            <w:shd w:val="clear" w:color="auto" w:fill="auto"/>
          </w:tcPr>
          <w:p w:rsidR="00C56A17" w:rsidRPr="00800481" w:rsidRDefault="00C56A17" w:rsidP="00002E71">
            <w:pPr>
              <w:tabs>
                <w:tab w:val="left" w:pos="432"/>
                <w:tab w:val="left" w:pos="864"/>
              </w:tabs>
              <w:spacing w:line="320" w:lineRule="exact"/>
              <w:jc w:val="both"/>
              <w:rPr>
                <w:rFonts w:ascii="Arial" w:hAnsi="Arial" w:cs="Arial"/>
                <w:b/>
              </w:rPr>
            </w:pPr>
            <w:r w:rsidRPr="00800481">
              <w:rPr>
                <w:rFonts w:ascii="Arial" w:hAnsi="Arial" w:cs="Arial"/>
                <w:b/>
              </w:rPr>
              <w:t>2014/2015 FY</w:t>
            </w:r>
          </w:p>
        </w:tc>
        <w:tc>
          <w:tcPr>
            <w:tcW w:w="1889" w:type="dxa"/>
            <w:shd w:val="clear" w:color="auto" w:fill="auto"/>
          </w:tcPr>
          <w:p w:rsidR="00C56A17" w:rsidRPr="00800481" w:rsidRDefault="00C56A17" w:rsidP="00002E71">
            <w:pPr>
              <w:tabs>
                <w:tab w:val="left" w:pos="432"/>
                <w:tab w:val="left" w:pos="864"/>
              </w:tabs>
              <w:spacing w:line="320" w:lineRule="exact"/>
              <w:jc w:val="both"/>
              <w:rPr>
                <w:rFonts w:ascii="Arial" w:hAnsi="Arial" w:cs="Arial"/>
                <w:b/>
              </w:rPr>
            </w:pPr>
            <w:r w:rsidRPr="00800481">
              <w:rPr>
                <w:rFonts w:ascii="Arial" w:hAnsi="Arial" w:cs="Arial"/>
                <w:b/>
              </w:rPr>
              <w:t>2015/2016 FY</w:t>
            </w:r>
          </w:p>
        </w:tc>
        <w:tc>
          <w:tcPr>
            <w:tcW w:w="1889" w:type="dxa"/>
            <w:shd w:val="clear" w:color="auto" w:fill="auto"/>
          </w:tcPr>
          <w:p w:rsidR="00C56A17" w:rsidRPr="00800481" w:rsidRDefault="00C56A17" w:rsidP="00002E71">
            <w:pPr>
              <w:tabs>
                <w:tab w:val="left" w:pos="432"/>
                <w:tab w:val="left" w:pos="864"/>
              </w:tabs>
              <w:spacing w:line="320" w:lineRule="exact"/>
              <w:jc w:val="both"/>
              <w:rPr>
                <w:rFonts w:ascii="Arial" w:hAnsi="Arial" w:cs="Arial"/>
                <w:b/>
              </w:rPr>
            </w:pPr>
            <w:r w:rsidRPr="00800481">
              <w:rPr>
                <w:rFonts w:ascii="Arial" w:hAnsi="Arial" w:cs="Arial"/>
                <w:b/>
              </w:rPr>
              <w:t>2016/2017 FY</w:t>
            </w:r>
          </w:p>
        </w:tc>
      </w:tr>
      <w:tr w:rsidR="00C56A17" w:rsidRPr="00002E71" w:rsidTr="00002E71">
        <w:tc>
          <w:tcPr>
            <w:tcW w:w="1889" w:type="dxa"/>
            <w:shd w:val="clear" w:color="auto" w:fill="auto"/>
          </w:tcPr>
          <w:p w:rsidR="00C56A17" w:rsidRPr="00002E71" w:rsidRDefault="00C56A17" w:rsidP="00002E71">
            <w:pPr>
              <w:tabs>
                <w:tab w:val="left" w:pos="432"/>
                <w:tab w:val="left" w:pos="864"/>
              </w:tabs>
              <w:spacing w:line="320" w:lineRule="exact"/>
              <w:jc w:val="both"/>
              <w:rPr>
                <w:rFonts w:ascii="Arial" w:hAnsi="Arial" w:cs="Arial"/>
              </w:rPr>
            </w:pPr>
            <w:r w:rsidRPr="00002E71">
              <w:rPr>
                <w:rFonts w:ascii="Arial" w:hAnsi="Arial" w:cs="Arial"/>
              </w:rPr>
              <w:t>R121,451,110</w:t>
            </w:r>
          </w:p>
        </w:tc>
        <w:tc>
          <w:tcPr>
            <w:tcW w:w="1889" w:type="dxa"/>
            <w:shd w:val="clear" w:color="auto" w:fill="auto"/>
          </w:tcPr>
          <w:p w:rsidR="00C56A17" w:rsidRPr="00002E71" w:rsidRDefault="00C56A17" w:rsidP="00002E71">
            <w:pPr>
              <w:tabs>
                <w:tab w:val="left" w:pos="432"/>
                <w:tab w:val="left" w:pos="864"/>
              </w:tabs>
              <w:spacing w:line="320" w:lineRule="exact"/>
              <w:jc w:val="both"/>
              <w:rPr>
                <w:rFonts w:ascii="Arial" w:hAnsi="Arial" w:cs="Arial"/>
              </w:rPr>
            </w:pPr>
            <w:r w:rsidRPr="00002E71">
              <w:rPr>
                <w:rFonts w:ascii="Arial" w:hAnsi="Arial" w:cs="Arial"/>
              </w:rPr>
              <w:t>R127,394,146</w:t>
            </w:r>
          </w:p>
        </w:tc>
        <w:tc>
          <w:tcPr>
            <w:tcW w:w="1889" w:type="dxa"/>
            <w:shd w:val="clear" w:color="auto" w:fill="auto"/>
          </w:tcPr>
          <w:p w:rsidR="00C56A17" w:rsidRPr="00002E71" w:rsidRDefault="00C56A17" w:rsidP="00002E71">
            <w:pPr>
              <w:tabs>
                <w:tab w:val="left" w:pos="432"/>
                <w:tab w:val="left" w:pos="864"/>
              </w:tabs>
              <w:spacing w:line="320" w:lineRule="exact"/>
              <w:jc w:val="both"/>
              <w:rPr>
                <w:rFonts w:ascii="Arial" w:hAnsi="Arial" w:cs="Arial"/>
              </w:rPr>
            </w:pPr>
            <w:r w:rsidRPr="00002E71">
              <w:rPr>
                <w:rFonts w:ascii="Arial" w:hAnsi="Arial" w:cs="Arial"/>
              </w:rPr>
              <w:t>R133,719,172</w:t>
            </w:r>
          </w:p>
        </w:tc>
      </w:tr>
    </w:tbl>
    <w:p w:rsidR="00C56A17" w:rsidRDefault="00C56A17" w:rsidP="00781F01">
      <w:pPr>
        <w:tabs>
          <w:tab w:val="left" w:pos="432"/>
          <w:tab w:val="left" w:pos="864"/>
        </w:tabs>
        <w:spacing w:line="320" w:lineRule="exact"/>
        <w:ind w:left="1440" w:hanging="1440"/>
        <w:jc w:val="both"/>
        <w:rPr>
          <w:rFonts w:ascii="Arial" w:hAnsi="Arial" w:cs="Arial"/>
        </w:rPr>
      </w:pPr>
    </w:p>
    <w:p w:rsidR="0013301D" w:rsidRDefault="00781F01" w:rsidP="00781F01">
      <w:pPr>
        <w:tabs>
          <w:tab w:val="left" w:pos="432"/>
          <w:tab w:val="left" w:pos="864"/>
        </w:tabs>
        <w:spacing w:line="320" w:lineRule="exact"/>
        <w:ind w:left="1440" w:hanging="1440"/>
        <w:jc w:val="both"/>
        <w:rPr>
          <w:rFonts w:ascii="Arial" w:hAnsi="Arial" w:cs="Arial"/>
          <w:lang w:val="en-ZA"/>
        </w:rPr>
      </w:pPr>
      <w:r>
        <w:rPr>
          <w:rFonts w:ascii="Arial" w:hAnsi="Arial" w:cs="Arial"/>
        </w:rPr>
        <w:t>(a)(i)(bb)</w:t>
      </w:r>
      <w:r w:rsidRPr="00781F01">
        <w:rPr>
          <w:rFonts w:ascii="Arial" w:hAnsi="Arial" w:cs="Arial"/>
          <w:lang w:val="en-ZA"/>
        </w:rPr>
        <w:t xml:space="preserve"> </w:t>
      </w:r>
      <w:r>
        <w:rPr>
          <w:rFonts w:ascii="Arial" w:hAnsi="Arial" w:cs="Arial"/>
          <w:lang w:val="en-ZA"/>
        </w:rPr>
        <w:tab/>
      </w:r>
      <w:r w:rsidR="00094DB8">
        <w:rPr>
          <w:rFonts w:ascii="Arial" w:hAnsi="Arial" w:cs="Arial"/>
          <w:lang w:val="en-ZA"/>
        </w:rPr>
        <w:t>R66,859,586</w:t>
      </w:r>
    </w:p>
    <w:p w:rsidR="002704C3" w:rsidRDefault="002704C3" w:rsidP="00781F01">
      <w:pPr>
        <w:tabs>
          <w:tab w:val="left" w:pos="432"/>
          <w:tab w:val="left" w:pos="864"/>
        </w:tabs>
        <w:spacing w:line="320" w:lineRule="exact"/>
        <w:ind w:left="1440" w:hanging="1440"/>
        <w:jc w:val="both"/>
        <w:rPr>
          <w:rFonts w:ascii="Arial" w:hAnsi="Arial" w:cs="Arial"/>
          <w:lang w:val="en-ZA"/>
        </w:rPr>
      </w:pPr>
    </w:p>
    <w:p w:rsidR="002704C3" w:rsidRDefault="002704C3"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(a)(ii)(aa)</w:t>
      </w:r>
      <w:r>
        <w:rPr>
          <w:rFonts w:ascii="Arial" w:hAnsi="Arial" w:cs="Arial"/>
          <w:lang w:val="en-ZA"/>
        </w:rPr>
        <w:tab/>
        <w:t>None</w:t>
      </w:r>
    </w:p>
    <w:p w:rsidR="002704C3" w:rsidRDefault="002704C3" w:rsidP="00781F01">
      <w:pPr>
        <w:tabs>
          <w:tab w:val="left" w:pos="432"/>
          <w:tab w:val="left" w:pos="864"/>
        </w:tabs>
        <w:spacing w:line="320" w:lineRule="exact"/>
        <w:ind w:left="1440" w:hanging="1440"/>
        <w:jc w:val="both"/>
        <w:rPr>
          <w:rFonts w:ascii="Arial" w:hAnsi="Arial" w:cs="Arial"/>
          <w:lang w:val="en-ZA"/>
        </w:rPr>
      </w:pPr>
    </w:p>
    <w:p w:rsidR="002704C3" w:rsidRDefault="002704C3"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(a)(ii)</w:t>
      </w:r>
      <w:r w:rsidR="00265FE9">
        <w:rPr>
          <w:rFonts w:ascii="Arial" w:hAnsi="Arial" w:cs="Arial"/>
          <w:lang w:val="en-ZA"/>
        </w:rPr>
        <w:t>(bb)</w:t>
      </w:r>
      <w:r w:rsidR="00265FE9">
        <w:rPr>
          <w:rFonts w:ascii="Arial" w:hAnsi="Arial" w:cs="Arial"/>
          <w:lang w:val="en-ZA"/>
        </w:rPr>
        <w:tab/>
        <w:t>None</w:t>
      </w:r>
    </w:p>
    <w:p w:rsidR="00265FE9" w:rsidRDefault="00265FE9" w:rsidP="00781F01">
      <w:pPr>
        <w:tabs>
          <w:tab w:val="left" w:pos="432"/>
          <w:tab w:val="left" w:pos="864"/>
        </w:tabs>
        <w:spacing w:line="320" w:lineRule="exact"/>
        <w:ind w:left="1440" w:hanging="1440"/>
        <w:jc w:val="both"/>
        <w:rPr>
          <w:rFonts w:ascii="Arial" w:hAnsi="Arial" w:cs="Arial"/>
          <w:lang w:val="en-ZA"/>
        </w:rPr>
      </w:pPr>
    </w:p>
    <w:p w:rsidR="00265FE9" w:rsidRDefault="00265FE9"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(a)(iii)(aa)</w:t>
      </w:r>
      <w:r>
        <w:rPr>
          <w:rFonts w:ascii="Arial" w:hAnsi="Arial" w:cs="Arial"/>
          <w:lang w:val="en-ZA"/>
        </w:rPr>
        <w:tab/>
        <w:t>None</w:t>
      </w:r>
    </w:p>
    <w:p w:rsidR="00265FE9" w:rsidRDefault="00265FE9" w:rsidP="00781F01">
      <w:pPr>
        <w:tabs>
          <w:tab w:val="left" w:pos="432"/>
          <w:tab w:val="left" w:pos="864"/>
        </w:tabs>
        <w:spacing w:line="320" w:lineRule="exact"/>
        <w:ind w:left="1440" w:hanging="1440"/>
        <w:jc w:val="both"/>
        <w:rPr>
          <w:rFonts w:ascii="Arial" w:hAnsi="Arial" w:cs="Arial"/>
          <w:lang w:val="en-ZA"/>
        </w:rPr>
      </w:pPr>
    </w:p>
    <w:p w:rsidR="00265FE9" w:rsidRDefault="00265FE9"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(a)(iii)(bb)</w:t>
      </w:r>
      <w:r>
        <w:rPr>
          <w:rFonts w:ascii="Arial" w:hAnsi="Arial" w:cs="Arial"/>
          <w:lang w:val="en-ZA"/>
        </w:rPr>
        <w:tab/>
        <w:t>None</w:t>
      </w:r>
    </w:p>
    <w:p w:rsidR="00094DB8" w:rsidRDefault="00094DB8" w:rsidP="00781F01">
      <w:pPr>
        <w:tabs>
          <w:tab w:val="left" w:pos="432"/>
          <w:tab w:val="left" w:pos="864"/>
        </w:tabs>
        <w:spacing w:line="320" w:lineRule="exact"/>
        <w:ind w:left="1440" w:hanging="1440"/>
        <w:jc w:val="both"/>
        <w:rPr>
          <w:rFonts w:ascii="Arial" w:hAnsi="Arial" w:cs="Arial"/>
          <w:lang w:val="en-ZA"/>
        </w:rPr>
      </w:pPr>
    </w:p>
    <w:p w:rsidR="00094DB8" w:rsidRDefault="00094DB8"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(b)(i)</w:t>
      </w:r>
      <w:r>
        <w:rPr>
          <w:rFonts w:ascii="Arial" w:hAnsi="Arial" w:cs="Arial"/>
          <w:lang w:val="en-ZA"/>
        </w:rPr>
        <w:tab/>
      </w:r>
      <w:r>
        <w:rPr>
          <w:rFonts w:ascii="Arial" w:hAnsi="Arial" w:cs="Arial"/>
          <w:lang w:val="en-ZA"/>
        </w:rPr>
        <w:tab/>
      </w:r>
      <w:r w:rsidR="00C56A17">
        <w:rPr>
          <w:rFonts w:ascii="Arial" w:hAnsi="Arial" w:cs="Arial"/>
          <w:lang w:val="en-ZA"/>
        </w:rPr>
        <w:t>There is a p</w:t>
      </w:r>
      <w:r w:rsidR="008C16BE">
        <w:rPr>
          <w:rFonts w:ascii="Arial" w:hAnsi="Arial" w:cs="Arial"/>
          <w:lang w:val="en-ZA"/>
        </w:rPr>
        <w:t>arliamentary allocation</w:t>
      </w:r>
      <w:r>
        <w:rPr>
          <w:rFonts w:ascii="Arial" w:hAnsi="Arial" w:cs="Arial"/>
          <w:lang w:val="en-ZA"/>
        </w:rPr>
        <w:t xml:space="preserve"> </w:t>
      </w:r>
      <w:r w:rsidR="00581E82" w:rsidRPr="00581E82">
        <w:rPr>
          <w:rFonts w:ascii="Arial" w:hAnsi="Arial" w:cs="Arial"/>
          <w:i/>
          <w:lang w:val="en-ZA"/>
        </w:rPr>
        <w:t xml:space="preserve">plus </w:t>
      </w:r>
      <w:r w:rsidR="00581E82">
        <w:rPr>
          <w:rFonts w:ascii="Arial" w:hAnsi="Arial" w:cs="Arial"/>
          <w:lang w:val="en-ZA"/>
        </w:rPr>
        <w:t>the b</w:t>
      </w:r>
      <w:r>
        <w:rPr>
          <w:rFonts w:ascii="Arial" w:hAnsi="Arial" w:cs="Arial"/>
          <w:lang w:val="en-ZA"/>
        </w:rPr>
        <w:t xml:space="preserve">ank balance at the end of the </w:t>
      </w:r>
      <w:r w:rsidR="00581E82">
        <w:rPr>
          <w:rFonts w:ascii="Arial" w:hAnsi="Arial" w:cs="Arial"/>
          <w:lang w:val="en-ZA"/>
        </w:rPr>
        <w:t xml:space="preserve">financial year </w:t>
      </w:r>
      <w:r w:rsidR="00581E82" w:rsidRPr="00581E82">
        <w:rPr>
          <w:rFonts w:ascii="Arial" w:hAnsi="Arial" w:cs="Arial"/>
          <w:i/>
          <w:lang w:val="en-ZA"/>
        </w:rPr>
        <w:t>minus</w:t>
      </w:r>
      <w:r w:rsidR="00581E82">
        <w:rPr>
          <w:rFonts w:ascii="Arial" w:hAnsi="Arial" w:cs="Arial"/>
          <w:lang w:val="en-ZA"/>
        </w:rPr>
        <w:t xml:space="preserve"> a</w:t>
      </w:r>
      <w:r>
        <w:rPr>
          <w:rFonts w:ascii="Arial" w:hAnsi="Arial" w:cs="Arial"/>
          <w:lang w:val="en-ZA"/>
        </w:rPr>
        <w:t>dministrative expenses</w:t>
      </w:r>
      <w:r w:rsidR="00581E82">
        <w:rPr>
          <w:rFonts w:ascii="Arial" w:hAnsi="Arial" w:cs="Arial"/>
          <w:lang w:val="en-ZA"/>
        </w:rPr>
        <w:t>.</w:t>
      </w:r>
      <w:r w:rsidR="00CB528D">
        <w:rPr>
          <w:rFonts w:ascii="Arial" w:hAnsi="Arial" w:cs="Arial"/>
          <w:lang w:val="en-ZA"/>
        </w:rPr>
        <w:t xml:space="preserve"> This amount is Gazetted each year by the middle of April.</w:t>
      </w:r>
    </w:p>
    <w:p w:rsidR="00094DB8" w:rsidRDefault="00094DB8"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lastRenderedPageBreak/>
        <w:t>(b)(ii)</w:t>
      </w:r>
      <w:r>
        <w:rPr>
          <w:rFonts w:ascii="Arial" w:hAnsi="Arial" w:cs="Arial"/>
          <w:lang w:val="en-ZA"/>
        </w:rPr>
        <w:tab/>
      </w:r>
      <w:r>
        <w:rPr>
          <w:rFonts w:ascii="Arial" w:hAnsi="Arial" w:cs="Arial"/>
          <w:lang w:val="en-ZA"/>
        </w:rPr>
        <w:tab/>
      </w:r>
      <w:r w:rsidRPr="00581E82">
        <w:rPr>
          <w:rFonts w:ascii="Arial" w:hAnsi="Arial" w:cs="Arial"/>
          <w:lang w:val="en-ZA"/>
        </w:rPr>
        <w:t>Allo</w:t>
      </w:r>
      <w:r w:rsidR="002D76DF" w:rsidRPr="00581E82">
        <w:rPr>
          <w:rFonts w:ascii="Arial" w:hAnsi="Arial" w:cs="Arial"/>
          <w:lang w:val="en-ZA"/>
        </w:rPr>
        <w:t>cation</w:t>
      </w:r>
      <w:r w:rsidR="00802B33">
        <w:rPr>
          <w:rFonts w:ascii="Arial" w:hAnsi="Arial" w:cs="Arial"/>
          <w:lang w:val="en-ZA"/>
        </w:rPr>
        <w:t xml:space="preserve">s </w:t>
      </w:r>
      <w:r w:rsidR="002D76DF" w:rsidRPr="00581E82">
        <w:rPr>
          <w:rFonts w:ascii="Arial" w:hAnsi="Arial" w:cs="Arial"/>
          <w:lang w:val="en-ZA"/>
        </w:rPr>
        <w:t xml:space="preserve">to each </w:t>
      </w:r>
      <w:r w:rsidR="00265FE9" w:rsidRPr="00581E82">
        <w:rPr>
          <w:rFonts w:ascii="Arial" w:hAnsi="Arial" w:cs="Arial"/>
          <w:lang w:val="en-ZA"/>
        </w:rPr>
        <w:t xml:space="preserve">represented </w:t>
      </w:r>
      <w:r w:rsidR="002D76DF" w:rsidRPr="00581E82">
        <w:rPr>
          <w:rFonts w:ascii="Arial" w:hAnsi="Arial" w:cs="Arial"/>
          <w:lang w:val="en-ZA"/>
        </w:rPr>
        <w:t xml:space="preserve">political party </w:t>
      </w:r>
      <w:r w:rsidR="00CB528D">
        <w:rPr>
          <w:rFonts w:ascii="Arial" w:hAnsi="Arial" w:cs="Arial"/>
          <w:lang w:val="en-ZA"/>
        </w:rPr>
        <w:t>are</w:t>
      </w:r>
      <w:r w:rsidR="00802B33">
        <w:rPr>
          <w:rFonts w:ascii="Arial" w:hAnsi="Arial" w:cs="Arial"/>
          <w:lang w:val="en-ZA"/>
        </w:rPr>
        <w:t xml:space="preserve"> made on a proportional and e</w:t>
      </w:r>
      <w:r w:rsidR="002D76DF" w:rsidRPr="00581E82">
        <w:rPr>
          <w:rFonts w:ascii="Arial" w:hAnsi="Arial" w:cs="Arial"/>
          <w:lang w:val="en-ZA"/>
        </w:rPr>
        <w:t xml:space="preserve">quitable </w:t>
      </w:r>
      <w:r w:rsidR="00802B33">
        <w:rPr>
          <w:rFonts w:ascii="Arial" w:hAnsi="Arial" w:cs="Arial"/>
          <w:lang w:val="en-ZA"/>
        </w:rPr>
        <w:t>basis.</w:t>
      </w:r>
    </w:p>
    <w:p w:rsidR="00802B33" w:rsidRPr="00581E82" w:rsidRDefault="00802B33" w:rsidP="00781F01">
      <w:pPr>
        <w:tabs>
          <w:tab w:val="left" w:pos="432"/>
          <w:tab w:val="left" w:pos="864"/>
        </w:tabs>
        <w:spacing w:line="320" w:lineRule="exact"/>
        <w:ind w:left="1440" w:hanging="1440"/>
        <w:jc w:val="both"/>
        <w:rPr>
          <w:rFonts w:ascii="Arial" w:hAnsi="Arial" w:cs="Arial"/>
          <w:lang w:val="en-ZA"/>
        </w:rPr>
      </w:pPr>
    </w:p>
    <w:p w:rsidR="002D76DF" w:rsidRDefault="00094DB8" w:rsidP="002D76DF">
      <w:pPr>
        <w:tabs>
          <w:tab w:val="left" w:pos="432"/>
          <w:tab w:val="left" w:pos="864"/>
        </w:tabs>
        <w:spacing w:line="320" w:lineRule="exact"/>
        <w:ind w:left="1440" w:hanging="144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sidRPr="00802B33">
        <w:rPr>
          <w:rFonts w:ascii="Arial" w:hAnsi="Arial" w:cs="Arial"/>
          <w:b/>
          <w:lang w:val="en-ZA"/>
        </w:rPr>
        <w:t>Proportional allocation</w:t>
      </w:r>
      <w:r w:rsidR="0087286B">
        <w:rPr>
          <w:rFonts w:ascii="Arial" w:hAnsi="Arial" w:cs="Arial"/>
          <w:lang w:val="en-ZA"/>
        </w:rPr>
        <w:t xml:space="preserve"> (90%</w:t>
      </w:r>
      <w:r w:rsidR="00802B33">
        <w:rPr>
          <w:rFonts w:ascii="Arial" w:hAnsi="Arial" w:cs="Arial"/>
          <w:lang w:val="en-ZA"/>
        </w:rPr>
        <w:t xml:space="preserve"> of total allocation</w:t>
      </w:r>
      <w:r w:rsidR="0087286B">
        <w:rPr>
          <w:rFonts w:ascii="Arial" w:hAnsi="Arial" w:cs="Arial"/>
          <w:lang w:val="en-ZA"/>
        </w:rPr>
        <w:t xml:space="preserve">) </w:t>
      </w:r>
      <w:r w:rsidR="00802B33">
        <w:rPr>
          <w:rFonts w:ascii="Arial" w:hAnsi="Arial" w:cs="Arial"/>
          <w:lang w:val="en-ZA"/>
        </w:rPr>
        <w:t>–</w:t>
      </w:r>
      <w:r w:rsidR="0087286B">
        <w:rPr>
          <w:rFonts w:ascii="Arial" w:hAnsi="Arial" w:cs="Arial"/>
          <w:lang w:val="en-ZA"/>
        </w:rPr>
        <w:t xml:space="preserve"> </w:t>
      </w:r>
      <w:r w:rsidR="00802B33">
        <w:rPr>
          <w:rFonts w:ascii="Arial" w:hAnsi="Arial" w:cs="Arial"/>
          <w:lang w:val="en-ZA"/>
        </w:rPr>
        <w:t>The n</w:t>
      </w:r>
      <w:r w:rsidR="0087286B" w:rsidRPr="0087286B">
        <w:rPr>
          <w:rFonts w:ascii="Arial" w:hAnsi="Arial" w:cs="Arial"/>
          <w:lang w:val="en-ZA"/>
        </w:rPr>
        <w:t>umber of seats</w:t>
      </w:r>
      <w:r w:rsidR="0087286B">
        <w:rPr>
          <w:rFonts w:ascii="Arial" w:hAnsi="Arial" w:cs="Arial"/>
          <w:lang w:val="en-ZA"/>
        </w:rPr>
        <w:t xml:space="preserve"> a party has </w:t>
      </w:r>
      <w:r w:rsidR="00802B33">
        <w:rPr>
          <w:rFonts w:ascii="Arial" w:hAnsi="Arial" w:cs="Arial"/>
          <w:lang w:val="en-ZA"/>
        </w:rPr>
        <w:t>in the</w:t>
      </w:r>
      <w:r w:rsidR="0087286B">
        <w:rPr>
          <w:rFonts w:ascii="Arial" w:hAnsi="Arial" w:cs="Arial"/>
          <w:lang w:val="en-ZA"/>
        </w:rPr>
        <w:t xml:space="preserve"> National Assembly and provincial legislatures</w:t>
      </w:r>
      <w:r w:rsidR="00802B33">
        <w:rPr>
          <w:rFonts w:ascii="Arial" w:hAnsi="Arial" w:cs="Arial"/>
          <w:lang w:val="en-ZA"/>
        </w:rPr>
        <w:t xml:space="preserve"> together divided by the t</w:t>
      </w:r>
      <w:r w:rsidR="0087286B">
        <w:rPr>
          <w:rFonts w:ascii="Arial" w:hAnsi="Arial" w:cs="Arial"/>
          <w:lang w:val="en-ZA"/>
        </w:rPr>
        <w:t>otal number of seats</w:t>
      </w:r>
      <w:r w:rsidR="0087286B" w:rsidRPr="0087286B">
        <w:rPr>
          <w:rFonts w:ascii="Arial" w:hAnsi="Arial" w:cs="Arial"/>
          <w:lang w:val="en-ZA"/>
        </w:rPr>
        <w:t xml:space="preserve"> </w:t>
      </w:r>
      <w:r w:rsidR="00802B33">
        <w:rPr>
          <w:rFonts w:ascii="Arial" w:hAnsi="Arial" w:cs="Arial"/>
          <w:lang w:val="en-ZA"/>
        </w:rPr>
        <w:t xml:space="preserve">(currently 830) multiplied by </w:t>
      </w:r>
      <w:r w:rsidR="0087286B">
        <w:rPr>
          <w:rFonts w:ascii="Arial" w:hAnsi="Arial" w:cs="Arial"/>
          <w:lang w:val="en-ZA"/>
        </w:rPr>
        <w:t>90% of the total allocation</w:t>
      </w:r>
      <w:r w:rsidR="00802B33">
        <w:rPr>
          <w:rFonts w:ascii="Arial" w:hAnsi="Arial" w:cs="Arial"/>
          <w:lang w:val="en-ZA"/>
        </w:rPr>
        <w:t>.</w:t>
      </w:r>
    </w:p>
    <w:p w:rsidR="00802B33" w:rsidRDefault="00802B33" w:rsidP="002D76DF">
      <w:pPr>
        <w:tabs>
          <w:tab w:val="left" w:pos="432"/>
          <w:tab w:val="left" w:pos="864"/>
        </w:tabs>
        <w:spacing w:line="320" w:lineRule="exact"/>
        <w:ind w:left="1440" w:hanging="1440"/>
        <w:jc w:val="both"/>
        <w:rPr>
          <w:rFonts w:ascii="Arial" w:hAnsi="Arial" w:cs="Arial"/>
          <w:lang w:val="en-ZA"/>
        </w:rPr>
      </w:pPr>
    </w:p>
    <w:p w:rsidR="0087286B" w:rsidRDefault="0087286B"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sidRPr="00802B33">
        <w:rPr>
          <w:rFonts w:ascii="Arial" w:hAnsi="Arial" w:cs="Arial"/>
          <w:b/>
          <w:lang w:val="en-ZA"/>
        </w:rPr>
        <w:t>Equitable allocation</w:t>
      </w:r>
      <w:r>
        <w:rPr>
          <w:rFonts w:ascii="Arial" w:hAnsi="Arial" w:cs="Arial"/>
          <w:lang w:val="en-ZA"/>
        </w:rPr>
        <w:t xml:space="preserve"> (10%</w:t>
      </w:r>
      <w:r w:rsidR="00802B33">
        <w:rPr>
          <w:rFonts w:ascii="Arial" w:hAnsi="Arial" w:cs="Arial"/>
          <w:lang w:val="en-ZA"/>
        </w:rPr>
        <w:t xml:space="preserve"> of total allocation</w:t>
      </w:r>
      <w:r>
        <w:rPr>
          <w:rFonts w:ascii="Arial" w:hAnsi="Arial" w:cs="Arial"/>
          <w:lang w:val="en-ZA"/>
        </w:rPr>
        <w:t xml:space="preserve">) – </w:t>
      </w:r>
      <w:r w:rsidR="00802B33" w:rsidRPr="00802B33">
        <w:rPr>
          <w:rFonts w:ascii="Arial" w:hAnsi="Arial" w:cs="Arial"/>
          <w:lang w:val="en-ZA"/>
        </w:rPr>
        <w:t xml:space="preserve">Divide the equitable portion between the 9 provinces in accordance with the number of seats </w:t>
      </w:r>
      <w:r w:rsidR="00CB528D">
        <w:rPr>
          <w:rFonts w:ascii="Arial" w:hAnsi="Arial" w:cs="Arial"/>
          <w:lang w:val="en-ZA"/>
        </w:rPr>
        <w:t xml:space="preserve">parties hold collectively </w:t>
      </w:r>
      <w:r w:rsidR="00802B33" w:rsidRPr="00802B33">
        <w:rPr>
          <w:rFonts w:ascii="Arial" w:hAnsi="Arial" w:cs="Arial"/>
          <w:lang w:val="en-ZA"/>
        </w:rPr>
        <w:t>in each province</w:t>
      </w:r>
      <w:r w:rsidR="00CB528D">
        <w:rPr>
          <w:rFonts w:ascii="Arial" w:hAnsi="Arial" w:cs="Arial"/>
          <w:lang w:val="en-ZA"/>
        </w:rPr>
        <w:t xml:space="preserve">, </w:t>
      </w:r>
      <w:r w:rsidR="00802B33" w:rsidRPr="00802B33">
        <w:rPr>
          <w:rFonts w:ascii="Arial" w:hAnsi="Arial" w:cs="Arial"/>
          <w:lang w:val="en-ZA"/>
        </w:rPr>
        <w:t>and allocate each provincial amount equally to repre</w:t>
      </w:r>
      <w:r w:rsidR="00CB528D">
        <w:rPr>
          <w:rFonts w:ascii="Arial" w:hAnsi="Arial" w:cs="Arial"/>
          <w:lang w:val="en-ZA"/>
        </w:rPr>
        <w:t>sented parties in that province, i.e. t</w:t>
      </w:r>
      <w:r>
        <w:rPr>
          <w:rFonts w:ascii="Arial" w:hAnsi="Arial" w:cs="Arial"/>
          <w:lang w:val="en-ZA"/>
        </w:rPr>
        <w:t>otal number of seats in a province</w:t>
      </w:r>
      <w:r w:rsidR="00CB528D">
        <w:rPr>
          <w:rFonts w:ascii="Arial" w:hAnsi="Arial" w:cs="Arial"/>
          <w:lang w:val="en-ZA"/>
        </w:rPr>
        <w:t xml:space="preserve"> held collectively by all parties in that province divided by the t</w:t>
      </w:r>
      <w:r w:rsidR="002D76DF">
        <w:rPr>
          <w:rFonts w:ascii="Arial" w:hAnsi="Arial" w:cs="Arial"/>
          <w:lang w:val="en-ZA"/>
        </w:rPr>
        <w:t>otal number of seats in all provinces</w:t>
      </w:r>
      <w:r w:rsidR="00CB528D">
        <w:rPr>
          <w:rFonts w:ascii="Arial" w:hAnsi="Arial" w:cs="Arial"/>
          <w:lang w:val="en-ZA"/>
        </w:rPr>
        <w:t xml:space="preserve"> (currently 430) multiplied by</w:t>
      </w:r>
      <w:r w:rsidR="002D76DF">
        <w:rPr>
          <w:rFonts w:ascii="Arial" w:hAnsi="Arial" w:cs="Arial"/>
          <w:lang w:val="en-ZA"/>
        </w:rPr>
        <w:t xml:space="preserve"> 10% of the total amount</w:t>
      </w:r>
      <w:r w:rsidR="00CB528D">
        <w:rPr>
          <w:rFonts w:ascii="Arial" w:hAnsi="Arial" w:cs="Arial"/>
          <w:lang w:val="en-ZA"/>
        </w:rPr>
        <w:t xml:space="preserve"> and then divided equally among</w:t>
      </w:r>
      <w:r w:rsidR="00802B33">
        <w:rPr>
          <w:rFonts w:ascii="Arial" w:hAnsi="Arial" w:cs="Arial"/>
          <w:lang w:val="en-ZA"/>
        </w:rPr>
        <w:t xml:space="preserve"> all parties in that province</w:t>
      </w:r>
      <w:r w:rsidR="00CB528D">
        <w:rPr>
          <w:rFonts w:ascii="Arial" w:hAnsi="Arial" w:cs="Arial"/>
          <w:lang w:val="en-ZA"/>
        </w:rPr>
        <w:t>.</w:t>
      </w:r>
    </w:p>
    <w:p w:rsidR="002D76DF" w:rsidRDefault="002D76DF" w:rsidP="00781F01">
      <w:pPr>
        <w:tabs>
          <w:tab w:val="left" w:pos="432"/>
          <w:tab w:val="left" w:pos="864"/>
        </w:tabs>
        <w:spacing w:line="320" w:lineRule="exact"/>
        <w:ind w:left="1440" w:hanging="1440"/>
        <w:jc w:val="both"/>
        <w:rPr>
          <w:rFonts w:ascii="Arial" w:hAnsi="Arial" w:cs="Arial"/>
          <w:lang w:val="en-ZA"/>
        </w:rPr>
      </w:pPr>
    </w:p>
    <w:p w:rsidR="00D74A90" w:rsidRDefault="00581E82" w:rsidP="00581E82">
      <w:pPr>
        <w:tabs>
          <w:tab w:val="left" w:pos="432"/>
          <w:tab w:val="left" w:pos="864"/>
        </w:tabs>
        <w:spacing w:line="320" w:lineRule="exact"/>
        <w:ind w:left="1440" w:hanging="1440"/>
        <w:jc w:val="both"/>
        <w:rPr>
          <w:rFonts w:ascii="Arial" w:hAnsi="Arial" w:cs="Arial"/>
          <w:lang w:val="en-ZA"/>
        </w:rPr>
      </w:pPr>
      <w:r>
        <w:rPr>
          <w:rFonts w:ascii="Arial" w:hAnsi="Arial" w:cs="Arial"/>
          <w:lang w:val="en-ZA"/>
        </w:rPr>
        <w:t>(c)</w:t>
      </w:r>
      <w:r>
        <w:rPr>
          <w:rFonts w:ascii="Arial" w:hAnsi="Arial" w:cs="Arial"/>
          <w:lang w:val="en-ZA"/>
        </w:rPr>
        <w:tab/>
      </w:r>
      <w:r>
        <w:rPr>
          <w:rFonts w:ascii="Arial" w:hAnsi="Arial" w:cs="Arial"/>
          <w:lang w:val="en-ZA"/>
        </w:rPr>
        <w:tab/>
      </w:r>
      <w:r>
        <w:rPr>
          <w:rFonts w:ascii="Arial" w:hAnsi="Arial" w:cs="Arial"/>
          <w:lang w:val="en-ZA"/>
        </w:rPr>
        <w:tab/>
      </w:r>
      <w:r w:rsidR="00C56A17">
        <w:rPr>
          <w:rFonts w:ascii="Arial" w:hAnsi="Arial" w:cs="Arial"/>
          <w:lang w:val="en-ZA"/>
        </w:rPr>
        <w:t xml:space="preserve">Allocations to represented political parties are made in April, July, October and January of each financial year as </w:t>
      </w:r>
      <w:r>
        <w:rPr>
          <w:rFonts w:ascii="Arial" w:hAnsi="Arial" w:cs="Arial"/>
          <w:lang w:val="en-ZA"/>
        </w:rPr>
        <w:t>per the Regulations pertaining to the Public Funding of Represented Political Parties Act 103 of 1997</w:t>
      </w:r>
      <w:r w:rsidR="00C56A17">
        <w:rPr>
          <w:rFonts w:ascii="Arial" w:hAnsi="Arial" w:cs="Arial"/>
          <w:lang w:val="en-ZA"/>
        </w:rPr>
        <w:t>.</w:t>
      </w:r>
      <w:r>
        <w:rPr>
          <w:rFonts w:ascii="Arial" w:hAnsi="Arial" w:cs="Arial"/>
          <w:lang w:val="en-ZA"/>
        </w:rPr>
        <w:t xml:space="preserve"> </w:t>
      </w:r>
    </w:p>
    <w:p w:rsidR="00265FE9" w:rsidRDefault="00265FE9" w:rsidP="00781F01">
      <w:pPr>
        <w:tabs>
          <w:tab w:val="left" w:pos="432"/>
          <w:tab w:val="left" w:pos="864"/>
        </w:tabs>
        <w:spacing w:line="320" w:lineRule="exact"/>
        <w:ind w:left="1440" w:hanging="1440"/>
        <w:jc w:val="both"/>
        <w:rPr>
          <w:rFonts w:ascii="Arial" w:hAnsi="Arial" w:cs="Arial"/>
          <w:lang w:val="en-ZA"/>
        </w:rPr>
      </w:pPr>
    </w:p>
    <w:p w:rsidR="00265FE9" w:rsidRDefault="00265FE9" w:rsidP="00781F01">
      <w:pPr>
        <w:tabs>
          <w:tab w:val="left" w:pos="432"/>
          <w:tab w:val="left" w:pos="864"/>
        </w:tabs>
        <w:spacing w:line="320" w:lineRule="exact"/>
        <w:ind w:left="1440" w:hanging="1440"/>
        <w:jc w:val="both"/>
        <w:rPr>
          <w:rFonts w:ascii="Arial" w:hAnsi="Arial" w:cs="Arial"/>
          <w:lang w:val="en-ZA"/>
        </w:rPr>
      </w:pPr>
      <w:r>
        <w:rPr>
          <w:rFonts w:ascii="Arial" w:hAnsi="Arial" w:cs="Arial"/>
          <w:lang w:val="en-ZA"/>
        </w:rPr>
        <w:t>(d)</w:t>
      </w:r>
      <w:r>
        <w:rPr>
          <w:rFonts w:ascii="Arial" w:hAnsi="Arial" w:cs="Arial"/>
          <w:lang w:val="en-ZA"/>
        </w:rPr>
        <w:tab/>
      </w:r>
      <w:r>
        <w:rPr>
          <w:rFonts w:ascii="Arial" w:hAnsi="Arial" w:cs="Arial"/>
          <w:lang w:val="en-ZA"/>
        </w:rPr>
        <w:tab/>
      </w:r>
      <w:r>
        <w:rPr>
          <w:rFonts w:ascii="Arial" w:hAnsi="Arial" w:cs="Arial"/>
          <w:lang w:val="en-ZA"/>
        </w:rPr>
        <w:tab/>
        <w:t>Funds were utilised for purposes arising from the functioning of the respective political parties in a modern democracy</w:t>
      </w:r>
      <w:r w:rsidR="00C10D7F">
        <w:rPr>
          <w:rFonts w:ascii="Arial" w:hAnsi="Arial" w:cs="Arial"/>
          <w:lang w:val="en-ZA"/>
        </w:rPr>
        <w:t>, classifiable under the following descriptive categories:</w:t>
      </w:r>
    </w:p>
    <w:p w:rsidR="00C10D7F" w:rsidRDefault="00C10D7F" w:rsidP="00781F01">
      <w:pPr>
        <w:tabs>
          <w:tab w:val="left" w:pos="432"/>
          <w:tab w:val="left" w:pos="864"/>
        </w:tabs>
        <w:spacing w:line="320" w:lineRule="exact"/>
        <w:ind w:left="1440" w:hanging="1440"/>
        <w:jc w:val="both"/>
        <w:rPr>
          <w:rFonts w:ascii="Arial" w:hAnsi="Arial" w:cs="Arial"/>
          <w:lang w:val="en-ZA"/>
        </w:rPr>
      </w:pP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personnel expenditure;</w:t>
      </w: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accommodation;</w:t>
      </w: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travel expenses;</w:t>
      </w: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arrangement of meetings and rallies;</w:t>
      </w: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administration; and</w:t>
      </w:r>
    </w:p>
    <w:p w:rsidR="00C10D7F" w:rsidRDefault="00C10D7F" w:rsidP="00C10D7F">
      <w:pPr>
        <w:numPr>
          <w:ilvl w:val="0"/>
          <w:numId w:val="38"/>
        </w:numPr>
        <w:tabs>
          <w:tab w:val="left" w:pos="432"/>
          <w:tab w:val="left" w:pos="864"/>
        </w:tabs>
        <w:spacing w:line="320" w:lineRule="exact"/>
        <w:jc w:val="both"/>
        <w:rPr>
          <w:rFonts w:ascii="Arial" w:hAnsi="Arial" w:cs="Arial"/>
          <w:lang w:val="en-ZA"/>
        </w:rPr>
      </w:pPr>
      <w:r>
        <w:rPr>
          <w:rFonts w:ascii="Arial" w:hAnsi="Arial" w:cs="Arial"/>
          <w:lang w:val="en-ZA"/>
        </w:rPr>
        <w:t>promotions and publications.</w:t>
      </w:r>
    </w:p>
    <w:p w:rsidR="00C10D7F" w:rsidRDefault="00C10D7F" w:rsidP="00C10D7F">
      <w:pPr>
        <w:tabs>
          <w:tab w:val="left" w:pos="432"/>
          <w:tab w:val="left" w:pos="864"/>
        </w:tabs>
        <w:spacing w:line="320" w:lineRule="exact"/>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p>
    <w:p w:rsidR="00C10D7F" w:rsidRDefault="00C10D7F" w:rsidP="00C10D7F">
      <w:pPr>
        <w:tabs>
          <w:tab w:val="left" w:pos="432"/>
          <w:tab w:val="left" w:pos="1418"/>
        </w:tabs>
        <w:spacing w:line="320" w:lineRule="exact"/>
        <w:ind w:left="1418" w:hanging="554"/>
        <w:jc w:val="both"/>
        <w:rPr>
          <w:rFonts w:ascii="Arial" w:hAnsi="Arial" w:cs="Arial"/>
          <w:lang w:val="en-ZA"/>
        </w:rPr>
      </w:pPr>
      <w:r>
        <w:rPr>
          <w:rFonts w:ascii="Arial" w:hAnsi="Arial" w:cs="Arial"/>
          <w:lang w:val="en-ZA"/>
        </w:rPr>
        <w:tab/>
        <w:t>The purposes and categories are defined in the Public Funding of Represented Political Parties Act 103 of 1997</w:t>
      </w:r>
      <w:r w:rsidR="00581E82">
        <w:rPr>
          <w:rFonts w:ascii="Arial" w:hAnsi="Arial" w:cs="Arial"/>
          <w:lang w:val="en-ZA"/>
        </w:rPr>
        <w:t xml:space="preserve"> and its Regulations</w:t>
      </w:r>
      <w:r>
        <w:rPr>
          <w:rFonts w:ascii="Arial" w:hAnsi="Arial" w:cs="Arial"/>
          <w:lang w:val="en-ZA"/>
        </w:rPr>
        <w:t>.</w:t>
      </w:r>
    </w:p>
    <w:p w:rsidR="0013301D" w:rsidRDefault="0013301D"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Mkuseli Apleni</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Prof. Hlengiwe Mkhize, MP</w:t>
      </w: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Director-General</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65" w:rsidRDefault="005F2D65">
      <w:r>
        <w:separator/>
      </w:r>
    </w:p>
  </w:endnote>
  <w:endnote w:type="continuationSeparator" w:id="0">
    <w:p w:rsidR="005F2D65" w:rsidRDefault="005F2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65" w:rsidRDefault="005F2D65">
      <w:r>
        <w:separator/>
      </w:r>
    </w:p>
  </w:footnote>
  <w:footnote w:type="continuationSeparator" w:id="0">
    <w:p w:rsidR="005F2D65" w:rsidRDefault="005F2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9CF">
      <w:rPr>
        <w:rStyle w:val="PageNumber"/>
        <w:noProof/>
      </w:rPr>
      <w:t>2</w:t>
    </w:r>
    <w:r>
      <w:rPr>
        <w:rStyle w:val="PageNumber"/>
      </w:rPr>
      <w:fldChar w:fldCharType="end"/>
    </w:r>
  </w:p>
  <w:p w:rsidR="00AE703D" w:rsidRDefault="00AE703D">
    <w:pPr>
      <w:pStyle w:val="Header"/>
    </w:pPr>
  </w:p>
  <w:p w:rsidR="00C56A17" w:rsidRDefault="00C56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1B026D"/>
    <w:multiLevelType w:val="hybridMultilevel"/>
    <w:tmpl w:val="731A0CF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7"/>
  </w:num>
  <w:num w:numId="27">
    <w:abstractNumId w:val="22"/>
  </w:num>
  <w:num w:numId="28">
    <w:abstractNumId w:val="14"/>
  </w:num>
  <w:num w:numId="29">
    <w:abstractNumId w:val="27"/>
  </w:num>
  <w:num w:numId="30">
    <w:abstractNumId w:val="18"/>
  </w:num>
  <w:num w:numId="31">
    <w:abstractNumId w:val="8"/>
  </w:num>
  <w:num w:numId="32">
    <w:abstractNumId w:val="13"/>
  </w:num>
  <w:num w:numId="33">
    <w:abstractNumId w:val="21"/>
  </w:num>
  <w:num w:numId="34">
    <w:abstractNumId w:val="34"/>
  </w:num>
  <w:num w:numId="35">
    <w:abstractNumId w:val="1"/>
  </w:num>
  <w:num w:numId="36">
    <w:abstractNumId w:val="31"/>
  </w:num>
  <w:num w:numId="37">
    <w:abstractNumId w:val="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2E71"/>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4DB8"/>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39CF"/>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FE9"/>
    <w:rsid w:val="00266145"/>
    <w:rsid w:val="00266F82"/>
    <w:rsid w:val="002702A1"/>
    <w:rsid w:val="002704C3"/>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71C"/>
    <w:rsid w:val="002D76DF"/>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7E6"/>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5931"/>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1E82"/>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D65"/>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65CC"/>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A6D"/>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B67"/>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1F01"/>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0481"/>
    <w:rsid w:val="0080159E"/>
    <w:rsid w:val="008016EE"/>
    <w:rsid w:val="008018E0"/>
    <w:rsid w:val="00802B33"/>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286B"/>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6BE"/>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46F7"/>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188"/>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0D7F"/>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6A17"/>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528D"/>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370"/>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4A90"/>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1D3B"/>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2F"/>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173B"/>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36E"/>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C56A17"/>
    <w:pPr>
      <w:tabs>
        <w:tab w:val="center" w:pos="4680"/>
        <w:tab w:val="right" w:pos="9360"/>
      </w:tabs>
    </w:pPr>
  </w:style>
  <w:style w:type="character" w:customStyle="1" w:styleId="FooterChar">
    <w:name w:val="Footer Char"/>
    <w:link w:val="Footer"/>
    <w:rsid w:val="00C56A17"/>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3D01-2FB9-4DBF-984F-825E09A0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2017-09-15T12:05:00Z</cp:lastPrinted>
  <dcterms:created xsi:type="dcterms:W3CDTF">2017-10-02T08:44:00Z</dcterms:created>
  <dcterms:modified xsi:type="dcterms:W3CDTF">2017-10-02T08:44:00Z</dcterms:modified>
</cp:coreProperties>
</file>