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364A80"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eastAsia="en-GB"/>
        </w:rPr>
      </w:pPr>
      <w:r w:rsidRPr="00364A80">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364A80"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eastAsia="en-GB"/>
        </w:rPr>
      </w:pPr>
    </w:p>
    <w:p w:rsidR="006C22EF" w:rsidRPr="00364A80"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eastAsia="en-GB"/>
        </w:rPr>
      </w:pPr>
      <w:r w:rsidRPr="00364A80">
        <w:rPr>
          <w:rFonts w:ascii="Arial Narrow" w:eastAsia="Arial Unicode MS" w:hAnsi="Arial Narrow" w:cs="Arial Unicode MS"/>
          <w:b/>
          <w:bCs/>
          <w:color w:val="003300"/>
          <w:sz w:val="20"/>
          <w:szCs w:val="20"/>
          <w:u w:color="003300"/>
          <w:bdr w:val="nil"/>
          <w:lang w:eastAsia="en-GB"/>
        </w:rPr>
        <w:t>MINISTRY OF TOURISM</w:t>
      </w:r>
    </w:p>
    <w:p w:rsidR="006C22EF" w:rsidRPr="00364A80"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eastAsia="en-GB"/>
        </w:rPr>
      </w:pPr>
      <w:r w:rsidRPr="00364A80">
        <w:rPr>
          <w:rFonts w:ascii="Arial Narrow" w:eastAsia="Arial Unicode MS" w:hAnsi="Arial Narrow" w:cs="Arial Unicode MS"/>
          <w:b/>
          <w:bCs/>
          <w:color w:val="003300"/>
          <w:sz w:val="20"/>
          <w:szCs w:val="20"/>
          <w:u w:color="003300"/>
          <w:bdr w:val="nil"/>
          <w:lang w:eastAsia="en-GB"/>
        </w:rPr>
        <w:t>REPUBLIC OF SOUTH AFRICA</w:t>
      </w:r>
    </w:p>
    <w:p w:rsidR="006C22EF" w:rsidRPr="00364A80"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eastAsia="en-GB"/>
        </w:rPr>
      </w:pPr>
    </w:p>
    <w:p w:rsidR="006C22EF" w:rsidRPr="00364A80"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eastAsia="en-GB"/>
        </w:rPr>
      </w:pPr>
      <w:r w:rsidRPr="00364A80">
        <w:rPr>
          <w:rFonts w:ascii="Arial Narrow" w:eastAsia="Arial Unicode MS" w:hAnsi="Arial Narrow" w:cs="Arial Unicode MS"/>
          <w:color w:val="000000"/>
          <w:sz w:val="16"/>
          <w:szCs w:val="16"/>
          <w:u w:color="000000"/>
          <w:bdr w:val="nil"/>
          <w:lang w:eastAsia="en-GB"/>
        </w:rPr>
        <w:t>Private Bag X424, Pretoria, 0001, South Africa. Tel. (+27 12) 444 6780, Fax (+27 12) 444 7027</w:t>
      </w:r>
    </w:p>
    <w:p w:rsidR="006C22EF" w:rsidRPr="00364A80"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eastAsia="en-GB"/>
        </w:rPr>
      </w:pPr>
      <w:r w:rsidRPr="00364A80">
        <w:rPr>
          <w:rFonts w:ascii="Arial Narrow" w:eastAsia="Arial Unicode MS" w:hAnsi="Arial Narrow" w:cs="Arial Unicode MS"/>
          <w:color w:val="000000"/>
          <w:sz w:val="16"/>
          <w:szCs w:val="16"/>
          <w:u w:color="000000"/>
          <w:bdr w:val="nil"/>
          <w:lang w:eastAsia="en-GB"/>
        </w:rPr>
        <w:t>Private Bag X9154, Cape Town, 8000, South Africa. Tel. (+27 21) 469 5800, Fax: (+27 21) 465 3216</w:t>
      </w:r>
    </w:p>
    <w:p w:rsidR="006C22EF" w:rsidRPr="00364A80"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rPr>
      </w:pPr>
    </w:p>
    <w:p w:rsidR="0083640D" w:rsidRPr="00364A80"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rPr>
      </w:pPr>
    </w:p>
    <w:p w:rsidR="006C22EF" w:rsidRPr="00364A80"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rPr>
      </w:pPr>
      <w:r w:rsidRPr="00364A80">
        <w:rPr>
          <w:rFonts w:ascii="Arial Narrow" w:eastAsia="Arial Unicode MS" w:hAnsi="Arial Narrow" w:cs="Times New Roman"/>
          <w:b/>
          <w:bCs/>
          <w:sz w:val="24"/>
          <w:szCs w:val="24"/>
          <w:u w:val="single"/>
          <w:bdr w:val="nil"/>
        </w:rPr>
        <w:t>NATIONAL ASSEMBLY:</w:t>
      </w:r>
    </w:p>
    <w:p w:rsidR="006C22EF" w:rsidRPr="00364A80"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rPr>
      </w:pPr>
    </w:p>
    <w:p w:rsidR="006C22EF" w:rsidRPr="00364A80"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rPr>
      </w:pPr>
      <w:r w:rsidRPr="00364A80">
        <w:rPr>
          <w:rFonts w:ascii="Arial Narrow" w:eastAsia="Arial Unicode MS" w:hAnsi="Arial Narrow" w:cs="Times New Roman"/>
          <w:b/>
          <w:bCs/>
          <w:sz w:val="24"/>
          <w:szCs w:val="24"/>
          <w:bdr w:val="nil"/>
        </w:rPr>
        <w:t>QUESTION FOR WRITTEN REPLY:</w:t>
      </w:r>
    </w:p>
    <w:p w:rsidR="006C22EF" w:rsidRPr="00364A80" w:rsidRDefault="008364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r w:rsidRPr="00364A80">
        <w:rPr>
          <w:rFonts w:ascii="Arial Narrow" w:eastAsia="Arial Unicode MS" w:hAnsi="Arial Narrow" w:cs="Times New Roman"/>
          <w:b/>
          <w:bCs/>
          <w:sz w:val="24"/>
          <w:szCs w:val="24"/>
          <w:bdr w:val="nil"/>
        </w:rPr>
        <w:t>Question Number:</w:t>
      </w:r>
      <w:r w:rsidRPr="00364A80">
        <w:rPr>
          <w:rFonts w:ascii="Arial Narrow" w:eastAsia="Arial Unicode MS" w:hAnsi="Arial Narrow" w:cs="Times New Roman"/>
          <w:b/>
          <w:bCs/>
          <w:sz w:val="24"/>
          <w:szCs w:val="24"/>
          <w:bdr w:val="nil"/>
        </w:rPr>
        <w:tab/>
        <w:t>2</w:t>
      </w:r>
      <w:r w:rsidR="00364A80" w:rsidRPr="00364A80">
        <w:rPr>
          <w:rFonts w:ascii="Arial Narrow" w:eastAsia="Arial Unicode MS" w:hAnsi="Arial Narrow" w:cs="Times New Roman"/>
          <w:b/>
          <w:bCs/>
          <w:sz w:val="24"/>
          <w:szCs w:val="24"/>
          <w:bdr w:val="nil"/>
        </w:rPr>
        <w:t>695</w:t>
      </w:r>
    </w:p>
    <w:p w:rsidR="006C22EF" w:rsidRPr="00364A80"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r w:rsidRPr="00364A80">
        <w:rPr>
          <w:rFonts w:ascii="Arial Narrow" w:eastAsia="Arial Unicode MS" w:hAnsi="Arial Narrow" w:cs="Times New Roman"/>
          <w:b/>
          <w:bCs/>
          <w:sz w:val="24"/>
          <w:szCs w:val="24"/>
          <w:bdr w:val="nil"/>
        </w:rPr>
        <w:t>Date of Publication:</w:t>
      </w:r>
      <w:r w:rsidRPr="00364A80">
        <w:rPr>
          <w:rFonts w:ascii="Arial Narrow" w:eastAsia="Arial Unicode MS" w:hAnsi="Arial Narrow" w:cs="Times New Roman"/>
          <w:b/>
          <w:bCs/>
          <w:sz w:val="24"/>
          <w:szCs w:val="24"/>
          <w:bdr w:val="nil"/>
        </w:rPr>
        <w:tab/>
      </w:r>
      <w:r w:rsidR="00364A80" w:rsidRPr="00364A80">
        <w:rPr>
          <w:rFonts w:ascii="Arial Narrow" w:eastAsia="Arial Unicode MS" w:hAnsi="Arial Narrow" w:cs="Times New Roman"/>
          <w:b/>
          <w:bCs/>
          <w:sz w:val="24"/>
          <w:szCs w:val="24"/>
          <w:bdr w:val="nil"/>
        </w:rPr>
        <w:t>13 November</w:t>
      </w:r>
      <w:r w:rsidR="00655403" w:rsidRPr="00364A80">
        <w:rPr>
          <w:rFonts w:ascii="Arial Narrow" w:eastAsia="Arial Unicode MS" w:hAnsi="Arial Narrow" w:cs="Times New Roman"/>
          <w:b/>
          <w:bCs/>
          <w:sz w:val="24"/>
          <w:szCs w:val="24"/>
          <w:bdr w:val="nil"/>
        </w:rPr>
        <w:t>2020</w:t>
      </w:r>
    </w:p>
    <w:p w:rsidR="006C22EF" w:rsidRPr="00364A80" w:rsidRDefault="00364A8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rPr>
      </w:pPr>
      <w:r>
        <w:rPr>
          <w:rFonts w:ascii="Arial Narrow" w:eastAsia="Arial Unicode MS" w:hAnsi="Arial Narrow" w:cs="Times New Roman"/>
          <w:b/>
          <w:bCs/>
          <w:sz w:val="24"/>
          <w:szCs w:val="24"/>
          <w:bdr w:val="nil"/>
        </w:rPr>
        <w:t>NA IQP Number:</w:t>
      </w:r>
      <w:r>
        <w:rPr>
          <w:rFonts w:ascii="Arial Narrow" w:eastAsia="Arial Unicode MS" w:hAnsi="Arial Narrow" w:cs="Times New Roman"/>
          <w:b/>
          <w:bCs/>
          <w:sz w:val="24"/>
          <w:szCs w:val="24"/>
          <w:bdr w:val="nil"/>
        </w:rPr>
        <w:tab/>
        <w:t>47</w:t>
      </w:r>
    </w:p>
    <w:p w:rsidR="006C22EF" w:rsidRPr="00364A80"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rPr>
      </w:pPr>
      <w:r w:rsidRPr="00364A80">
        <w:rPr>
          <w:rFonts w:ascii="Arial Narrow" w:eastAsia="Arial Unicode MS" w:hAnsi="Arial Narrow" w:cs="Times New Roman"/>
          <w:b/>
          <w:bCs/>
          <w:sz w:val="24"/>
          <w:szCs w:val="24"/>
          <w:bdr w:val="nil"/>
        </w:rPr>
        <w:t>Date of reply:</w:t>
      </w:r>
      <w:r w:rsidRPr="00364A80">
        <w:rPr>
          <w:rFonts w:ascii="Arial Narrow" w:eastAsia="Arial Unicode MS" w:hAnsi="Arial Narrow" w:cs="Times New Roman"/>
          <w:b/>
          <w:bCs/>
          <w:sz w:val="24"/>
          <w:szCs w:val="24"/>
          <w:bdr w:val="nil"/>
        </w:rPr>
        <w:tab/>
      </w:r>
      <w:r w:rsidRPr="00364A80">
        <w:rPr>
          <w:rFonts w:ascii="Arial Narrow" w:eastAsia="Arial Unicode MS" w:hAnsi="Arial Narrow" w:cs="Times New Roman"/>
          <w:b/>
          <w:bCs/>
          <w:sz w:val="24"/>
          <w:szCs w:val="24"/>
          <w:bdr w:val="nil"/>
        </w:rPr>
        <w:tab/>
      </w:r>
      <w:r w:rsidR="00FD4772">
        <w:rPr>
          <w:rFonts w:ascii="Arial Narrow" w:eastAsia="Arial Unicode MS" w:hAnsi="Arial Narrow" w:cs="Times New Roman"/>
          <w:b/>
          <w:bCs/>
          <w:sz w:val="24"/>
          <w:szCs w:val="24"/>
          <w:bdr w:val="nil"/>
        </w:rPr>
        <w:t>05 November 2020</w:t>
      </w:r>
    </w:p>
    <w:p w:rsidR="002F397B" w:rsidRPr="00364A80"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rPr>
      </w:pPr>
    </w:p>
    <w:p w:rsidR="009A0955" w:rsidRPr="00364A80"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rPr>
      </w:pPr>
      <w:r w:rsidRPr="00364A80">
        <w:rPr>
          <w:rFonts w:ascii="Arial Narrow" w:eastAsia="Calibri" w:hAnsi="Arial Narrow" w:cs="Times New Roman"/>
          <w:b/>
          <w:sz w:val="24"/>
          <w:szCs w:val="24"/>
        </w:rPr>
        <w:t xml:space="preserve">Mr </w:t>
      </w:r>
      <w:r w:rsidR="00364A80">
        <w:rPr>
          <w:rFonts w:ascii="Arial Narrow" w:eastAsia="Calibri" w:hAnsi="Arial Narrow" w:cs="Times New Roman"/>
          <w:b/>
          <w:sz w:val="24"/>
          <w:szCs w:val="24"/>
        </w:rPr>
        <w:t>M S F de Freitas (DA</w:t>
      </w:r>
      <w:r w:rsidRPr="00364A80">
        <w:rPr>
          <w:rFonts w:ascii="Arial Narrow" w:eastAsia="Calibri" w:hAnsi="Arial Narrow" w:cs="Times New Roman"/>
          <w:b/>
          <w:sz w:val="24"/>
          <w:szCs w:val="24"/>
        </w:rPr>
        <w:t xml:space="preserve">) to ask the Minister of Tourism:  </w:t>
      </w:r>
    </w:p>
    <w:p w:rsidR="004009F4" w:rsidRDefault="00364A80" w:rsidP="001D1F08">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364A80">
        <w:rPr>
          <w:rFonts w:ascii="Arial Narrow" w:eastAsia="Calibri" w:hAnsi="Arial Narrow" w:cs="Times New Roman"/>
          <w:sz w:val="24"/>
          <w:szCs w:val="24"/>
        </w:rPr>
        <w:t>With reference to the lockdown to curb the spread of COVID-19, (a)(i) by what date will international borders be open for tourism and (ii) on what information does the Government rely in this regard and (b)(i) what research has been undertaken in respect of the economic impact and job losses on the tourism sector and (ii) what are the findings of such research?</w:t>
      </w:r>
      <w:r w:rsidRPr="00364A80">
        <w:rPr>
          <w:rFonts w:ascii="Arial Narrow" w:eastAsia="Calibri" w:hAnsi="Arial Narrow" w:cs="Times New Roman"/>
          <w:sz w:val="24"/>
          <w:szCs w:val="24"/>
        </w:rPr>
        <w:tab/>
      </w:r>
      <w:r w:rsidRPr="00364A80">
        <w:rPr>
          <w:rFonts w:ascii="Arial Narrow" w:eastAsia="Calibri" w:hAnsi="Arial Narrow" w:cs="Times New Roman"/>
          <w:sz w:val="24"/>
          <w:szCs w:val="24"/>
        </w:rPr>
        <w:tab/>
      </w:r>
      <w:r w:rsidRPr="00364A80">
        <w:rPr>
          <w:rFonts w:ascii="Arial Narrow" w:eastAsia="Calibri" w:hAnsi="Arial Narrow" w:cs="Times New Roman"/>
          <w:sz w:val="24"/>
          <w:szCs w:val="24"/>
        </w:rPr>
        <w:tab/>
      </w:r>
      <w:r w:rsidRPr="00364A80">
        <w:rPr>
          <w:rFonts w:ascii="Arial Narrow" w:eastAsia="Calibri" w:hAnsi="Arial Narrow" w:cs="Times New Roman"/>
          <w:sz w:val="24"/>
          <w:szCs w:val="24"/>
        </w:rPr>
        <w:tab/>
      </w:r>
      <w:r w:rsidRPr="00364A80">
        <w:rPr>
          <w:rFonts w:ascii="Arial Narrow" w:eastAsia="Calibri" w:hAnsi="Arial Narrow" w:cs="Times New Roman"/>
          <w:sz w:val="24"/>
          <w:szCs w:val="24"/>
        </w:rPr>
        <w:tab/>
      </w:r>
      <w:r w:rsidRPr="00364A80">
        <w:rPr>
          <w:rFonts w:ascii="Arial Narrow" w:eastAsia="Calibri" w:hAnsi="Arial Narrow" w:cs="Times New Roman"/>
          <w:sz w:val="24"/>
          <w:szCs w:val="24"/>
        </w:rPr>
        <w:tab/>
      </w:r>
      <w:r w:rsidRPr="00364A80">
        <w:rPr>
          <w:rFonts w:ascii="Arial Narrow" w:eastAsia="Calibri" w:hAnsi="Arial Narrow" w:cs="Times New Roman"/>
          <w:sz w:val="24"/>
          <w:szCs w:val="24"/>
        </w:rPr>
        <w:tab/>
        <w:t>NW3463E</w:t>
      </w:r>
    </w:p>
    <w:p w:rsidR="00364A80" w:rsidRDefault="00364A80" w:rsidP="001D1F08">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p>
    <w:p w:rsidR="00364A80" w:rsidRPr="00364A80" w:rsidRDefault="00364A80" w:rsidP="001D1F08">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rPr>
      </w:pPr>
    </w:p>
    <w:p w:rsidR="00E54B68" w:rsidRPr="00364A80"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r w:rsidRPr="00364A80">
        <w:rPr>
          <w:rFonts w:ascii="Arial Narrow" w:eastAsia="Arial Unicode MS" w:hAnsi="Arial Narrow" w:cs="Times New Roman"/>
          <w:b/>
          <w:bCs/>
          <w:sz w:val="24"/>
          <w:szCs w:val="24"/>
          <w:bdr w:val="nil"/>
        </w:rPr>
        <w:t>REPLY:</w:t>
      </w:r>
    </w:p>
    <w:p w:rsidR="00364A80" w:rsidRPr="006A1A89" w:rsidRDefault="00364A80" w:rsidP="006635C2">
      <w:pPr>
        <w:pStyle w:val="ListParagraph"/>
        <w:numPr>
          <w:ilvl w:val="0"/>
          <w:numId w:val="29"/>
        </w:numPr>
        <w:pBdr>
          <w:top w:val="nil"/>
          <w:left w:val="nil"/>
          <w:bottom w:val="nil"/>
          <w:right w:val="nil"/>
          <w:between w:val="nil"/>
          <w:bar w:val="nil"/>
        </w:pBdr>
        <w:tabs>
          <w:tab w:val="left" w:pos="709"/>
        </w:tabs>
        <w:spacing w:after="0" w:line="360" w:lineRule="auto"/>
        <w:ind w:left="993" w:hanging="993"/>
        <w:jc w:val="both"/>
        <w:rPr>
          <w:rFonts w:ascii="Arial Narrow" w:eastAsia="Calibri" w:hAnsi="Arial Narrow" w:cs="Times New Roman"/>
          <w:sz w:val="24"/>
          <w:szCs w:val="24"/>
        </w:rPr>
      </w:pPr>
      <w:r w:rsidRPr="006A1A89">
        <w:rPr>
          <w:rFonts w:ascii="Arial Narrow" w:eastAsia="Calibri" w:hAnsi="Arial Narrow" w:cs="Times New Roman"/>
          <w:b/>
          <w:sz w:val="24"/>
          <w:szCs w:val="24"/>
        </w:rPr>
        <w:t>(i)</w:t>
      </w:r>
      <w:r w:rsidR="00A70EBC" w:rsidRPr="006A1A89">
        <w:rPr>
          <w:rFonts w:ascii="Arial Narrow" w:eastAsia="Calibri" w:hAnsi="Arial Narrow" w:cs="Times New Roman"/>
          <w:sz w:val="24"/>
          <w:szCs w:val="24"/>
        </w:rPr>
        <w:t xml:space="preserve">International Borders are open </w:t>
      </w:r>
      <w:r w:rsidR="000748BF" w:rsidRPr="006A1A89">
        <w:rPr>
          <w:rFonts w:ascii="Arial Narrow" w:eastAsia="Calibri" w:hAnsi="Arial Narrow" w:cs="Times New Roman"/>
          <w:sz w:val="24"/>
          <w:szCs w:val="24"/>
        </w:rPr>
        <w:t xml:space="preserve">as announced </w:t>
      </w:r>
      <w:r w:rsidR="00A70EBC" w:rsidRPr="006A1A89">
        <w:rPr>
          <w:rFonts w:ascii="Arial Narrow" w:eastAsia="Calibri" w:hAnsi="Arial Narrow" w:cs="Times New Roman"/>
          <w:sz w:val="24"/>
          <w:szCs w:val="24"/>
        </w:rPr>
        <w:t>by the President of the Republic</w:t>
      </w:r>
      <w:r w:rsidR="000748BF" w:rsidRPr="006A1A89">
        <w:rPr>
          <w:rFonts w:ascii="Arial Narrow" w:eastAsia="Calibri" w:hAnsi="Arial Narrow" w:cs="Times New Roman"/>
          <w:sz w:val="24"/>
          <w:szCs w:val="24"/>
        </w:rPr>
        <w:t xml:space="preserve"> on 11 November 2020</w:t>
      </w:r>
    </w:p>
    <w:p w:rsidR="00364A80" w:rsidRPr="00213542" w:rsidRDefault="006A1A89" w:rsidP="006A1A89">
      <w:pPr>
        <w:pStyle w:val="ListParagraph"/>
        <w:pBdr>
          <w:top w:val="nil"/>
          <w:left w:val="nil"/>
          <w:bottom w:val="nil"/>
          <w:right w:val="nil"/>
          <w:between w:val="nil"/>
          <w:bar w:val="nil"/>
        </w:pBdr>
        <w:tabs>
          <w:tab w:val="left" w:pos="1276"/>
        </w:tabs>
        <w:spacing w:after="0" w:line="360" w:lineRule="auto"/>
        <w:rPr>
          <w:rFonts w:ascii="Arial Narrow" w:eastAsia="Calibri" w:hAnsi="Arial Narrow" w:cs="Times New Roman"/>
          <w:b/>
          <w:sz w:val="24"/>
          <w:szCs w:val="24"/>
        </w:rPr>
      </w:pPr>
      <w:r>
        <w:rPr>
          <w:rFonts w:ascii="Arial Narrow" w:eastAsia="Calibri" w:hAnsi="Arial Narrow" w:cs="Times New Roman"/>
          <w:b/>
          <w:sz w:val="24"/>
          <w:szCs w:val="24"/>
        </w:rPr>
        <w:t>(ii</w:t>
      </w:r>
      <w:r w:rsidRPr="006A1A89">
        <w:rPr>
          <w:rFonts w:ascii="Arial Narrow" w:eastAsia="Calibri" w:hAnsi="Arial Narrow" w:cs="Times New Roman"/>
          <w:b/>
          <w:color w:val="000000" w:themeColor="text1"/>
          <w:sz w:val="24"/>
          <w:szCs w:val="24"/>
        </w:rPr>
        <w:t xml:space="preserve">) </w:t>
      </w:r>
      <w:r w:rsidRPr="006A1A89">
        <w:rPr>
          <w:rFonts w:ascii="Arial Narrow" w:eastAsia="Calibri" w:hAnsi="Arial Narrow" w:cs="Times New Roman"/>
          <w:color w:val="000000" w:themeColor="text1"/>
          <w:sz w:val="24"/>
          <w:szCs w:val="24"/>
        </w:rPr>
        <w:t>Not Applicable</w:t>
      </w:r>
      <w:r w:rsidR="000748BF" w:rsidRPr="006A1A89">
        <w:rPr>
          <w:rFonts w:ascii="Arial Narrow" w:eastAsia="Calibri" w:hAnsi="Arial Narrow" w:cs="Times New Roman"/>
          <w:color w:val="000000" w:themeColor="text1"/>
          <w:sz w:val="24"/>
          <w:szCs w:val="24"/>
        </w:rPr>
        <w:br/>
      </w:r>
    </w:p>
    <w:p w:rsidR="006346AA" w:rsidRPr="00213542" w:rsidRDefault="00364A80" w:rsidP="00746081">
      <w:pPr>
        <w:pStyle w:val="ListParagraph"/>
        <w:numPr>
          <w:ilvl w:val="0"/>
          <w:numId w:val="29"/>
        </w:numPr>
        <w:pBdr>
          <w:top w:val="nil"/>
          <w:left w:val="nil"/>
          <w:bottom w:val="nil"/>
          <w:right w:val="nil"/>
          <w:between w:val="nil"/>
          <w:bar w:val="nil"/>
        </w:pBdr>
        <w:tabs>
          <w:tab w:val="left" w:pos="1276"/>
        </w:tabs>
        <w:spacing w:after="0" w:line="360" w:lineRule="auto"/>
        <w:ind w:left="851" w:hanging="851"/>
        <w:jc w:val="both"/>
        <w:rPr>
          <w:rFonts w:ascii="Arial Narrow" w:eastAsia="Calibri" w:hAnsi="Arial Narrow" w:cs="Times New Roman"/>
          <w:b/>
          <w:sz w:val="24"/>
          <w:szCs w:val="24"/>
        </w:rPr>
      </w:pPr>
      <w:r w:rsidRPr="00213542">
        <w:rPr>
          <w:rFonts w:ascii="Arial Narrow" w:eastAsia="Calibri" w:hAnsi="Arial Narrow" w:cs="Times New Roman"/>
          <w:b/>
          <w:sz w:val="24"/>
          <w:szCs w:val="24"/>
        </w:rPr>
        <w:t xml:space="preserve">(i) </w:t>
      </w:r>
      <w:r w:rsidRPr="00213542">
        <w:rPr>
          <w:rFonts w:ascii="Arial Narrow" w:eastAsia="Calibri" w:hAnsi="Arial Narrow" w:cs="Times New Roman"/>
          <w:b/>
          <w:sz w:val="24"/>
          <w:szCs w:val="24"/>
        </w:rPr>
        <w:tab/>
        <w:t>What research has been undertaken in respect of the economic impact and job l</w:t>
      </w:r>
      <w:r w:rsidR="006346AA" w:rsidRPr="00213542">
        <w:rPr>
          <w:rFonts w:ascii="Arial Narrow" w:eastAsia="Calibri" w:hAnsi="Arial Narrow" w:cs="Times New Roman"/>
          <w:b/>
          <w:sz w:val="24"/>
          <w:szCs w:val="24"/>
        </w:rPr>
        <w:t>osses on the</w:t>
      </w:r>
      <w:r w:rsidR="00FD2231">
        <w:rPr>
          <w:rFonts w:ascii="Arial Narrow" w:eastAsia="Calibri" w:hAnsi="Arial Narrow" w:cs="Times New Roman"/>
          <w:b/>
          <w:sz w:val="24"/>
          <w:szCs w:val="24"/>
        </w:rPr>
        <w:tab/>
        <w:t>tourism sector?</w:t>
      </w:r>
      <w:r w:rsidR="003715E8" w:rsidRPr="00213542">
        <w:rPr>
          <w:rFonts w:ascii="Arial Narrow" w:eastAsia="Calibri" w:hAnsi="Arial Narrow" w:cs="Times New Roman"/>
          <w:b/>
          <w:sz w:val="24"/>
          <w:szCs w:val="24"/>
        </w:rPr>
        <w:tab/>
      </w:r>
    </w:p>
    <w:p w:rsidR="008009FC" w:rsidRPr="000748BF" w:rsidRDefault="003715E8" w:rsidP="000748BF">
      <w:pPr>
        <w:tabs>
          <w:tab w:val="left" w:pos="284"/>
        </w:tabs>
        <w:ind w:left="851"/>
        <w:jc w:val="both"/>
        <w:rPr>
          <w:rFonts w:ascii="Arial Narrow" w:hAnsi="Arial Narrow" w:cs="Arial"/>
          <w:sz w:val="24"/>
          <w:szCs w:val="24"/>
        </w:rPr>
      </w:pPr>
      <w:r w:rsidRPr="003715E8">
        <w:rPr>
          <w:rFonts w:ascii="Arial Narrow" w:hAnsi="Arial Narrow" w:cs="Arial"/>
          <w:sz w:val="24"/>
          <w:szCs w:val="24"/>
        </w:rPr>
        <w:t xml:space="preserve">The Department of Tourism in collaboration with International Finance Corporation (World Bank Group) and the Tourism Business Council of South Africa (TBCSA) has </w:t>
      </w:r>
      <w:r w:rsidR="008009FC">
        <w:rPr>
          <w:rFonts w:ascii="Arial Narrow" w:hAnsi="Arial Narrow" w:cs="Arial"/>
          <w:sz w:val="24"/>
          <w:szCs w:val="24"/>
        </w:rPr>
        <w:t>conducted a tourism Industry Survey</w:t>
      </w:r>
      <w:r w:rsidRPr="003715E8">
        <w:rPr>
          <w:rFonts w:ascii="Arial Narrow" w:hAnsi="Arial Narrow" w:cs="Arial"/>
          <w:sz w:val="24"/>
          <w:szCs w:val="24"/>
        </w:rPr>
        <w:t xml:space="preserve"> on the impact of COVID-19 on the tourism sector. </w:t>
      </w:r>
      <w:r w:rsidR="008009FC">
        <w:rPr>
          <w:rFonts w:ascii="Arial Narrow" w:hAnsi="Arial Narrow" w:cs="Arial"/>
          <w:sz w:val="24"/>
          <w:szCs w:val="24"/>
        </w:rPr>
        <w:t>The su</w:t>
      </w:r>
      <w:r w:rsidR="00A87458">
        <w:rPr>
          <w:rFonts w:ascii="Arial Narrow" w:hAnsi="Arial Narrow" w:cs="Arial"/>
          <w:sz w:val="24"/>
          <w:szCs w:val="24"/>
        </w:rPr>
        <w:t>rvey aims to quantify the extent</w:t>
      </w:r>
      <w:r w:rsidR="008009FC">
        <w:rPr>
          <w:rFonts w:ascii="Arial Narrow" w:hAnsi="Arial Narrow" w:cs="Arial"/>
          <w:sz w:val="24"/>
          <w:szCs w:val="24"/>
        </w:rPr>
        <w:t xml:space="preserve"> of the impact of COVID-19: how effective the support has been and what kind of help is still required. The survey was planned to be conducted three times over a period of the next 1</w:t>
      </w:r>
      <w:r w:rsidR="00A87458">
        <w:rPr>
          <w:rFonts w:ascii="Arial Narrow" w:hAnsi="Arial Narrow" w:cs="Arial"/>
          <w:sz w:val="24"/>
          <w:szCs w:val="24"/>
        </w:rPr>
        <w:t>2</w:t>
      </w:r>
      <w:r w:rsidR="008009FC">
        <w:rPr>
          <w:rFonts w:ascii="Arial Narrow" w:hAnsi="Arial Narrow" w:cs="Arial"/>
          <w:sz w:val="24"/>
          <w:szCs w:val="24"/>
        </w:rPr>
        <w:t xml:space="preserve"> months </w:t>
      </w:r>
      <w:r w:rsidR="008009FC">
        <w:rPr>
          <w:rFonts w:ascii="Arial Narrow" w:hAnsi="Arial Narrow" w:cs="Arial"/>
          <w:sz w:val="24"/>
          <w:szCs w:val="24"/>
        </w:rPr>
        <w:lastRenderedPageBreak/>
        <w:t xml:space="preserve">to track progress. The first survey was done in April 2020 and covered the month of March and had 1 610 respondents. </w:t>
      </w:r>
      <w:r w:rsidR="000748BF">
        <w:rPr>
          <w:rFonts w:ascii="Arial Narrow" w:hAnsi="Arial Narrow" w:cs="Arial"/>
          <w:sz w:val="24"/>
          <w:szCs w:val="24"/>
        </w:rPr>
        <w:t>The analysis of the third survey is currently being conducted.</w:t>
      </w:r>
    </w:p>
    <w:p w:rsidR="00364A80" w:rsidRPr="00213542" w:rsidRDefault="00364A80" w:rsidP="00364A80">
      <w:pPr>
        <w:pStyle w:val="ListParagraph"/>
        <w:pBdr>
          <w:top w:val="nil"/>
          <w:left w:val="nil"/>
          <w:bottom w:val="nil"/>
          <w:right w:val="nil"/>
          <w:between w:val="nil"/>
          <w:bar w:val="nil"/>
        </w:pBdr>
        <w:tabs>
          <w:tab w:val="left" w:pos="1276"/>
        </w:tabs>
        <w:spacing w:after="0" w:line="360" w:lineRule="auto"/>
        <w:ind w:left="851"/>
        <w:jc w:val="both"/>
        <w:rPr>
          <w:rFonts w:ascii="Arial Narrow" w:eastAsia="Calibri" w:hAnsi="Arial Narrow" w:cs="Times New Roman"/>
          <w:b/>
          <w:sz w:val="24"/>
          <w:szCs w:val="24"/>
        </w:rPr>
      </w:pPr>
    </w:p>
    <w:p w:rsidR="00A75AB3" w:rsidRDefault="00364A80" w:rsidP="00364A80">
      <w:pPr>
        <w:pStyle w:val="ListParagraph"/>
        <w:pBdr>
          <w:top w:val="nil"/>
          <w:left w:val="nil"/>
          <w:bottom w:val="nil"/>
          <w:right w:val="nil"/>
          <w:between w:val="nil"/>
          <w:bar w:val="nil"/>
        </w:pBdr>
        <w:tabs>
          <w:tab w:val="left" w:pos="1276"/>
        </w:tabs>
        <w:spacing w:after="0" w:line="360" w:lineRule="auto"/>
        <w:jc w:val="both"/>
        <w:rPr>
          <w:rFonts w:ascii="Arial Narrow" w:eastAsia="Calibri" w:hAnsi="Arial Narrow" w:cs="Times New Roman"/>
          <w:b/>
          <w:sz w:val="24"/>
          <w:szCs w:val="24"/>
        </w:rPr>
      </w:pPr>
      <w:r w:rsidRPr="00213542">
        <w:rPr>
          <w:rFonts w:ascii="Arial Narrow" w:eastAsia="Calibri" w:hAnsi="Arial Narrow" w:cs="Times New Roman"/>
          <w:b/>
          <w:sz w:val="24"/>
          <w:szCs w:val="24"/>
        </w:rPr>
        <w:t xml:space="preserve">(ii) </w:t>
      </w:r>
      <w:r w:rsidRPr="00213542">
        <w:rPr>
          <w:rFonts w:ascii="Arial Narrow" w:eastAsia="Calibri" w:hAnsi="Arial Narrow" w:cs="Times New Roman"/>
          <w:b/>
          <w:sz w:val="24"/>
          <w:szCs w:val="24"/>
        </w:rPr>
        <w:tab/>
        <w:t>What ar</w:t>
      </w:r>
      <w:r w:rsidR="00FD2231">
        <w:rPr>
          <w:rFonts w:ascii="Arial Narrow" w:eastAsia="Calibri" w:hAnsi="Arial Narrow" w:cs="Times New Roman"/>
          <w:b/>
          <w:sz w:val="24"/>
          <w:szCs w:val="24"/>
        </w:rPr>
        <w:t>e the findings of such research?</w:t>
      </w:r>
    </w:p>
    <w:p w:rsidR="000748BF" w:rsidRDefault="000748BF" w:rsidP="000748BF">
      <w:pPr>
        <w:tabs>
          <w:tab w:val="left" w:pos="284"/>
        </w:tabs>
        <w:ind w:left="851"/>
        <w:jc w:val="both"/>
        <w:rPr>
          <w:rFonts w:ascii="Arial Narrow" w:hAnsi="Arial Narrow" w:cs="Arial"/>
          <w:sz w:val="24"/>
          <w:szCs w:val="24"/>
        </w:rPr>
      </w:pPr>
      <w:r>
        <w:rPr>
          <w:rFonts w:ascii="Arial Narrow" w:hAnsi="Arial Narrow" w:cs="Arial"/>
          <w:sz w:val="24"/>
          <w:szCs w:val="24"/>
        </w:rPr>
        <w:t>The second survey was done in July 2020 and covered the month of June and had 1 501 respondents. The following are the findings from the survey:</w:t>
      </w:r>
    </w:p>
    <w:p w:rsidR="000748BF" w:rsidRDefault="000748BF" w:rsidP="000748BF">
      <w:pPr>
        <w:pStyle w:val="ListParagraph"/>
        <w:numPr>
          <w:ilvl w:val="0"/>
          <w:numId w:val="30"/>
        </w:numPr>
        <w:tabs>
          <w:tab w:val="left" w:pos="284"/>
        </w:tabs>
        <w:ind w:left="851" w:firstLine="0"/>
        <w:jc w:val="both"/>
        <w:rPr>
          <w:rFonts w:ascii="Arial Narrow" w:hAnsi="Arial Narrow" w:cs="Arial"/>
          <w:sz w:val="24"/>
          <w:szCs w:val="24"/>
        </w:rPr>
      </w:pPr>
      <w:r>
        <w:rPr>
          <w:rFonts w:ascii="Arial Narrow" w:hAnsi="Arial Narrow" w:cs="Arial"/>
          <w:sz w:val="24"/>
          <w:szCs w:val="24"/>
        </w:rPr>
        <w:t>99% of responding enterprises were affected by COVID-19.</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Pr>
          <w:rFonts w:ascii="Arial Narrow" w:hAnsi="Arial Narrow" w:cs="Arial"/>
          <w:sz w:val="24"/>
          <w:szCs w:val="24"/>
        </w:rPr>
        <w:t>Business were marginally more optimistic in June than in April, with 67% feeling neutral or positively believing their business will survive to take part in the recovery, up from 64% in April.</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Pr>
          <w:rFonts w:ascii="Arial Narrow" w:hAnsi="Arial Narrow" w:cs="Arial"/>
          <w:sz w:val="24"/>
          <w:szCs w:val="24"/>
        </w:rPr>
        <w:t>61% of enterprises were not operating in June, with 54% planning to reopen by September. Most of these re-openings were to be partial.</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Pr>
          <w:rFonts w:ascii="Arial Narrow" w:hAnsi="Arial Narrow" w:cs="Arial"/>
          <w:sz w:val="24"/>
          <w:szCs w:val="24"/>
        </w:rPr>
        <w:t>The most significant concern for businesses considering reopening was sufficient demand to break-even, and 66% of enterprises highlighted the requirement for international and domestic markets to open before they will consider reopening.</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Pr>
          <w:rFonts w:ascii="Arial Narrow" w:hAnsi="Arial Narrow" w:cs="Arial"/>
          <w:sz w:val="24"/>
          <w:szCs w:val="24"/>
        </w:rPr>
        <w:t>95% of enterprises (83% in March) reported that revenues in May 2020 were down more than 50% compared to May 2019, and 75% of enterprises said revenues were 100% less. This was significantly more than in the previous survey, where 34% of enterprises said revenues were 100% less.</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Pr>
          <w:rFonts w:ascii="Arial Narrow" w:hAnsi="Arial Narrow" w:cs="Arial"/>
          <w:sz w:val="24"/>
          <w:szCs w:val="24"/>
        </w:rPr>
        <w:t>64% of enterprises were unable to service their debts and 67% of enterprises were unable to cover fixed costs in May 2020.</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sidRPr="00DF1C27">
        <w:rPr>
          <w:rFonts w:ascii="Arial Narrow" w:hAnsi="Arial Narrow" w:cs="Arial"/>
          <w:sz w:val="24"/>
          <w:szCs w:val="24"/>
        </w:rPr>
        <w:t xml:space="preserve">The most common mitigation measure regarding workforce management, remained wage reduction to include 55% of enterprises with more than half their workforce on reduced wages(up from 50% in March).  The number of enterprises </w:t>
      </w:r>
      <w:r>
        <w:rPr>
          <w:rFonts w:ascii="Arial Narrow" w:hAnsi="Arial Narrow" w:cs="Arial"/>
          <w:sz w:val="24"/>
          <w:szCs w:val="24"/>
        </w:rPr>
        <w:t>e</w:t>
      </w:r>
      <w:r w:rsidRPr="00DF1C27">
        <w:rPr>
          <w:rFonts w:ascii="Arial Narrow" w:hAnsi="Arial Narrow" w:cs="Arial"/>
          <w:sz w:val="24"/>
          <w:szCs w:val="24"/>
        </w:rPr>
        <w:t>mploying</w:t>
      </w:r>
      <w:r>
        <w:rPr>
          <w:rFonts w:ascii="Arial Narrow" w:hAnsi="Arial Narrow" w:cs="Arial"/>
          <w:sz w:val="24"/>
          <w:szCs w:val="24"/>
        </w:rPr>
        <w:t xml:space="preserve"> furlough measures had stayed constant, as have the numbers of enterprises making redundancies. 43% of enterprises indicated that they did not make redundancies.</w:t>
      </w:r>
    </w:p>
    <w:p w:rsidR="000748BF" w:rsidRDefault="000748BF" w:rsidP="000748BF">
      <w:pPr>
        <w:pStyle w:val="ListParagraph"/>
        <w:numPr>
          <w:ilvl w:val="0"/>
          <w:numId w:val="30"/>
        </w:numPr>
        <w:tabs>
          <w:tab w:val="left" w:pos="284"/>
        </w:tabs>
        <w:ind w:left="1418" w:hanging="567"/>
        <w:jc w:val="both"/>
        <w:rPr>
          <w:rFonts w:ascii="Arial Narrow" w:hAnsi="Arial Narrow" w:cs="Arial"/>
          <w:sz w:val="24"/>
          <w:szCs w:val="24"/>
        </w:rPr>
      </w:pPr>
      <w:r w:rsidRPr="000748BF">
        <w:rPr>
          <w:rFonts w:ascii="Arial Narrow" w:hAnsi="Arial Narrow" w:cs="Arial"/>
          <w:sz w:val="24"/>
          <w:szCs w:val="24"/>
        </w:rPr>
        <w:t>Medium sized enterprises were the most affected in terms of wage reduction (89% have reduced wages for more than half their workforce) and furloughed, followed by large businesses, and large business were most likely to have made more than half their staff redundant (16%).</w:t>
      </w:r>
    </w:p>
    <w:p w:rsidR="003715E8" w:rsidRPr="000748BF" w:rsidRDefault="0083779E" w:rsidP="000748BF">
      <w:pPr>
        <w:pStyle w:val="ListParagraph"/>
        <w:numPr>
          <w:ilvl w:val="0"/>
          <w:numId w:val="30"/>
        </w:numPr>
        <w:tabs>
          <w:tab w:val="left" w:pos="284"/>
        </w:tabs>
        <w:ind w:left="1418" w:hanging="567"/>
        <w:jc w:val="both"/>
        <w:rPr>
          <w:rFonts w:ascii="Arial Narrow" w:hAnsi="Arial Narrow" w:cs="Arial"/>
          <w:sz w:val="24"/>
          <w:szCs w:val="24"/>
        </w:rPr>
      </w:pPr>
      <w:r w:rsidRPr="000748BF">
        <w:rPr>
          <w:rFonts w:ascii="Arial Narrow" w:hAnsi="Arial Narrow" w:cs="Arial"/>
          <w:sz w:val="24"/>
          <w:szCs w:val="24"/>
        </w:rPr>
        <w:t xml:space="preserve">Furthermore, the survey revealed that most commonly applied mitigation measures by businesses were supporting deferment of </w:t>
      </w:r>
      <w:r w:rsidR="006F2A18" w:rsidRPr="000748BF">
        <w:rPr>
          <w:rFonts w:ascii="Arial Narrow" w:hAnsi="Arial Narrow" w:cs="Arial"/>
          <w:sz w:val="24"/>
          <w:szCs w:val="24"/>
        </w:rPr>
        <w:t>bookings instead</w:t>
      </w:r>
      <w:r w:rsidRPr="000748BF">
        <w:rPr>
          <w:rFonts w:ascii="Arial Narrow" w:hAnsi="Arial Narrow" w:cs="Arial"/>
          <w:sz w:val="24"/>
          <w:szCs w:val="24"/>
        </w:rPr>
        <w:t xml:space="preserve"> of cancel</w:t>
      </w:r>
      <w:r w:rsidR="00A87458" w:rsidRPr="000748BF">
        <w:rPr>
          <w:rFonts w:ascii="Arial Narrow" w:hAnsi="Arial Narrow" w:cs="Arial"/>
          <w:sz w:val="24"/>
          <w:szCs w:val="24"/>
        </w:rPr>
        <w:t>l</w:t>
      </w:r>
      <w:r w:rsidRPr="000748BF">
        <w:rPr>
          <w:rFonts w:ascii="Arial Narrow" w:hAnsi="Arial Narrow" w:cs="Arial"/>
          <w:sz w:val="24"/>
          <w:szCs w:val="24"/>
        </w:rPr>
        <w:t>ation, and providing refunds</w:t>
      </w:r>
      <w:r w:rsidR="00A70EBC" w:rsidRPr="000748BF">
        <w:rPr>
          <w:rFonts w:ascii="Arial Narrow" w:hAnsi="Arial Narrow" w:cs="Arial"/>
          <w:sz w:val="24"/>
          <w:szCs w:val="24"/>
        </w:rPr>
        <w:t>.</w:t>
      </w:r>
    </w:p>
    <w:p w:rsidR="0083779E" w:rsidRDefault="0083779E" w:rsidP="00A70EBC">
      <w:pPr>
        <w:pStyle w:val="ListParagraph"/>
        <w:numPr>
          <w:ilvl w:val="0"/>
          <w:numId w:val="31"/>
        </w:numPr>
        <w:tabs>
          <w:tab w:val="left" w:pos="284"/>
        </w:tabs>
        <w:ind w:left="1418" w:hanging="567"/>
        <w:jc w:val="both"/>
        <w:rPr>
          <w:rFonts w:ascii="Arial Narrow" w:hAnsi="Arial Narrow" w:cs="Arial"/>
          <w:sz w:val="24"/>
          <w:szCs w:val="24"/>
        </w:rPr>
      </w:pPr>
      <w:r>
        <w:rPr>
          <w:rFonts w:ascii="Arial Narrow" w:hAnsi="Arial Narrow" w:cs="Arial"/>
          <w:sz w:val="24"/>
          <w:szCs w:val="24"/>
        </w:rPr>
        <w:t>In a similar pattern to the results from the April survey, all businesses prioritised the need for financial support for cashflow, financial support for recovery, and tax relief. In this survey, expert advice on business recovery, advice on health and safety measures, and support for commercial debt repayment had climbed higher on the priority list. As before, micro enterprise</w:t>
      </w:r>
      <w:r w:rsidR="00A70EBC">
        <w:rPr>
          <w:rFonts w:ascii="Arial Narrow" w:hAnsi="Arial Narrow" w:cs="Arial"/>
          <w:sz w:val="24"/>
          <w:szCs w:val="24"/>
        </w:rPr>
        <w:t>s</w:t>
      </w:r>
      <w:r>
        <w:rPr>
          <w:rFonts w:ascii="Arial Narrow" w:hAnsi="Arial Narrow" w:cs="Arial"/>
          <w:sz w:val="24"/>
          <w:szCs w:val="24"/>
        </w:rPr>
        <w:t xml:space="preserve"> indicated that cashflow was their first priority, small enterprises prioritised financial support for recovery and both medium and large enterprises prioritised tax relief</w:t>
      </w:r>
      <w:r w:rsidR="00A70EBC">
        <w:rPr>
          <w:rFonts w:ascii="Arial Narrow" w:hAnsi="Arial Narrow" w:cs="Arial"/>
          <w:sz w:val="24"/>
          <w:szCs w:val="24"/>
        </w:rPr>
        <w:t>.</w:t>
      </w:r>
    </w:p>
    <w:p w:rsidR="001D1F08" w:rsidRDefault="0083779E" w:rsidP="00A70EBC">
      <w:pPr>
        <w:pStyle w:val="ListParagraph"/>
        <w:numPr>
          <w:ilvl w:val="0"/>
          <w:numId w:val="31"/>
        </w:numPr>
        <w:tabs>
          <w:tab w:val="left" w:pos="284"/>
        </w:tabs>
        <w:ind w:left="1418" w:hanging="567"/>
        <w:jc w:val="both"/>
        <w:rPr>
          <w:rFonts w:ascii="Arial Narrow" w:hAnsi="Arial Narrow" w:cs="Arial"/>
          <w:sz w:val="24"/>
          <w:szCs w:val="24"/>
        </w:rPr>
      </w:pPr>
      <w:r>
        <w:rPr>
          <w:rFonts w:ascii="Arial Narrow" w:hAnsi="Arial Narrow" w:cs="Arial"/>
          <w:sz w:val="24"/>
          <w:szCs w:val="24"/>
        </w:rPr>
        <w:t xml:space="preserve">The support facilities with the most respondent awareness were the UIF scheme and the Tourism Relief of the Department. </w:t>
      </w:r>
    </w:p>
    <w:p w:rsidR="0034008B" w:rsidRPr="00A70EBC" w:rsidRDefault="0034008B" w:rsidP="0034008B">
      <w:pPr>
        <w:pStyle w:val="ListParagraph"/>
        <w:tabs>
          <w:tab w:val="left" w:pos="284"/>
        </w:tabs>
        <w:ind w:left="1418"/>
        <w:jc w:val="both"/>
        <w:rPr>
          <w:rFonts w:ascii="Arial Narrow" w:hAnsi="Arial Narrow" w:cs="Arial"/>
          <w:sz w:val="24"/>
          <w:szCs w:val="24"/>
        </w:rPr>
      </w:pPr>
    </w:p>
    <w:p w:rsidR="003766B1" w:rsidRPr="00364A80" w:rsidRDefault="0034008B" w:rsidP="009A0955">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Pr>
          <w:rFonts w:ascii="Arial Narrow" w:eastAsia="Calibri" w:hAnsi="Arial Narrow" w:cs="Times New Roman"/>
          <w:sz w:val="24"/>
          <w:szCs w:val="24"/>
        </w:rPr>
        <w:t>More detail is available on the department’s website</w:t>
      </w:r>
      <w:r w:rsidR="006635C2">
        <w:rPr>
          <w:rFonts w:ascii="Arial Narrow" w:eastAsia="Calibri" w:hAnsi="Arial Narrow" w:cs="Times New Roman"/>
          <w:sz w:val="24"/>
          <w:szCs w:val="24"/>
        </w:rPr>
        <w:t>.</w:t>
      </w:r>
    </w:p>
    <w:p w:rsidR="00504917" w:rsidRPr="00364A80" w:rsidRDefault="0034008B" w:rsidP="006635C2">
      <w:pPr>
        <w:pStyle w:val="ListParagraph"/>
        <w:pBdr>
          <w:top w:val="nil"/>
          <w:left w:val="nil"/>
          <w:bottom w:val="nil"/>
          <w:right w:val="nil"/>
          <w:between w:val="nil"/>
          <w:bar w:val="nil"/>
        </w:pBdr>
        <w:tabs>
          <w:tab w:val="left" w:pos="567"/>
        </w:tabs>
        <w:spacing w:after="0" w:line="360" w:lineRule="auto"/>
        <w:ind w:left="567" w:hanging="567"/>
        <w:rPr>
          <w:rFonts w:ascii="Arial Narrow" w:eastAsia="Calibri" w:hAnsi="Arial Narrow" w:cs="Times New Roman"/>
          <w:sz w:val="24"/>
          <w:szCs w:val="24"/>
        </w:rPr>
      </w:pPr>
      <w:r w:rsidRPr="0034008B">
        <w:rPr>
          <w:rFonts w:ascii="Arial Narrow" w:eastAsia="Calibri" w:hAnsi="Arial Narrow" w:cs="Times New Roman"/>
          <w:sz w:val="24"/>
          <w:szCs w:val="24"/>
        </w:rPr>
        <w:t>https://www.tourism.gov.za/CurrentProjects/Tourism_Relief_Fund_for_SMMEs/Documents/South%20Africa%20Tourism%20Survey%202%20on%2</w:t>
      </w:r>
      <w:bookmarkStart w:id="0" w:name="_GoBack"/>
      <w:bookmarkEnd w:id="0"/>
      <w:r w:rsidRPr="0034008B">
        <w:rPr>
          <w:rFonts w:ascii="Arial Narrow" w:eastAsia="Calibri" w:hAnsi="Arial Narrow" w:cs="Times New Roman"/>
          <w:sz w:val="24"/>
          <w:szCs w:val="24"/>
        </w:rPr>
        <w:t>0COVID-9%20(June%202020)%20Results.pdf</w:t>
      </w:r>
    </w:p>
    <w:sectPr w:rsidR="00504917" w:rsidRPr="00364A80"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DAE" w:rsidRDefault="00706DAE">
      <w:pPr>
        <w:spacing w:after="0" w:line="240" w:lineRule="auto"/>
      </w:pPr>
      <w:r>
        <w:separator/>
      </w:r>
    </w:p>
  </w:endnote>
  <w:endnote w:type="continuationSeparator" w:id="1">
    <w:p w:rsidR="00706DAE" w:rsidRDefault="00706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w:t>
        </w:r>
        <w:r w:rsidR="00A46FF7">
          <w:rPr>
            <w:rFonts w:ascii="Arial Narrow" w:hAnsi="Arial Narrow"/>
            <w:sz w:val="18"/>
            <w:szCs w:val="18"/>
          </w:rPr>
          <w:t>6</w:t>
        </w:r>
        <w:r w:rsidR="00364A80">
          <w:rPr>
            <w:rFonts w:ascii="Arial Narrow" w:hAnsi="Arial Narrow"/>
            <w:sz w:val="18"/>
            <w:szCs w:val="18"/>
          </w:rPr>
          <w:t>95</w:t>
        </w:r>
        <w:r w:rsidR="00504917" w:rsidRPr="00504917">
          <w:rPr>
            <w:rFonts w:ascii="Arial Narrow" w:hAnsi="Arial Narrow"/>
            <w:sz w:val="18"/>
            <w:szCs w:val="18"/>
          </w:rPr>
          <w:t xml:space="preserve"> (NW</w:t>
        </w:r>
        <w:r w:rsidR="00A46FF7">
          <w:rPr>
            <w:rFonts w:ascii="Arial Narrow" w:hAnsi="Arial Narrow"/>
            <w:sz w:val="18"/>
            <w:szCs w:val="18"/>
          </w:rPr>
          <w:t>3</w:t>
        </w:r>
        <w:r w:rsidR="00364A80">
          <w:rPr>
            <w:rFonts w:ascii="Arial Narrow" w:hAnsi="Arial Narrow"/>
            <w:sz w:val="18"/>
            <w:szCs w:val="18"/>
          </w:rPr>
          <w:t>463</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3A1E40" w:rsidRPr="00013AC6">
          <w:rPr>
            <w:rFonts w:ascii="Arial Narrow" w:hAnsi="Arial Narrow"/>
          </w:rPr>
          <w:fldChar w:fldCharType="begin"/>
        </w:r>
        <w:r w:rsidR="00013AC6" w:rsidRPr="00013AC6">
          <w:rPr>
            <w:rFonts w:ascii="Arial Narrow" w:hAnsi="Arial Narrow"/>
          </w:rPr>
          <w:instrText xml:space="preserve"> PAGE   \* MERGEFORMAT </w:instrText>
        </w:r>
        <w:r w:rsidR="003A1E40" w:rsidRPr="00013AC6">
          <w:rPr>
            <w:rFonts w:ascii="Arial Narrow" w:hAnsi="Arial Narrow"/>
          </w:rPr>
          <w:fldChar w:fldCharType="separate"/>
        </w:r>
        <w:r w:rsidR="00BB4F53">
          <w:rPr>
            <w:rFonts w:ascii="Arial Narrow" w:hAnsi="Arial Narrow"/>
            <w:noProof/>
          </w:rPr>
          <w:t>2</w:t>
        </w:r>
        <w:r w:rsidR="003A1E40" w:rsidRPr="00013AC6">
          <w:rPr>
            <w:rFonts w:ascii="Arial Narrow" w:hAnsi="Arial Narrow"/>
            <w:noProof/>
          </w:rPr>
          <w:fldChar w:fldCharType="end"/>
        </w:r>
      </w:p>
    </w:sdtContent>
  </w:sdt>
  <w:p w:rsidR="00C0184E" w:rsidRPr="00013AC6" w:rsidRDefault="00706DA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06DAE">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w:t>
    </w:r>
    <w:r w:rsidR="00364A80">
      <w:rPr>
        <w:rFonts w:ascii="Arial Narrow" w:hAnsi="Arial Narrow"/>
        <w:sz w:val="18"/>
        <w:szCs w:val="18"/>
      </w:rPr>
      <w:t>695</w:t>
    </w:r>
    <w:r w:rsidR="00D100A6">
      <w:rPr>
        <w:rFonts w:ascii="Arial Narrow" w:hAnsi="Arial Narrow"/>
        <w:sz w:val="18"/>
        <w:szCs w:val="18"/>
      </w:rPr>
      <w:t xml:space="preserve"> (NW</w:t>
    </w:r>
    <w:r w:rsidR="00A46FF7">
      <w:rPr>
        <w:rFonts w:ascii="Arial Narrow" w:hAnsi="Arial Narrow"/>
        <w:sz w:val="18"/>
        <w:szCs w:val="18"/>
      </w:rPr>
      <w:t>3</w:t>
    </w:r>
    <w:r w:rsidR="00364A80">
      <w:rPr>
        <w:rFonts w:ascii="Arial Narrow" w:hAnsi="Arial Narrow"/>
        <w:sz w:val="18"/>
        <w:szCs w:val="18"/>
      </w:rPr>
      <w:t>463</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DAE" w:rsidRDefault="00706DAE">
      <w:pPr>
        <w:spacing w:after="0" w:line="240" w:lineRule="auto"/>
      </w:pPr>
      <w:r>
        <w:separator/>
      </w:r>
    </w:p>
  </w:footnote>
  <w:footnote w:type="continuationSeparator" w:id="1">
    <w:p w:rsidR="00706DAE" w:rsidRDefault="00706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F67"/>
    <w:multiLevelType w:val="hybridMultilevel"/>
    <w:tmpl w:val="FD72924A"/>
    <w:lvl w:ilvl="0" w:tplc="BF56BBE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1">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185766"/>
    <w:multiLevelType w:val="hybridMultilevel"/>
    <w:tmpl w:val="70AE51D2"/>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9F90E29"/>
    <w:multiLevelType w:val="hybridMultilevel"/>
    <w:tmpl w:val="ED7685C8"/>
    <w:lvl w:ilvl="0" w:tplc="1C090001">
      <w:start w:val="1"/>
      <w:numFmt w:val="bullet"/>
      <w:lvlText w:val=""/>
      <w:lvlJc w:val="left"/>
      <w:pPr>
        <w:ind w:left="1288" w:hanging="360"/>
      </w:pPr>
      <w:rPr>
        <w:rFonts w:ascii="Symbol" w:hAnsi="Symbol" w:hint="default"/>
      </w:rPr>
    </w:lvl>
    <w:lvl w:ilvl="1" w:tplc="1C090003" w:tentative="1">
      <w:start w:val="1"/>
      <w:numFmt w:val="bullet"/>
      <w:lvlText w:val="o"/>
      <w:lvlJc w:val="left"/>
      <w:pPr>
        <w:ind w:left="2008" w:hanging="360"/>
      </w:pPr>
      <w:rPr>
        <w:rFonts w:ascii="Courier New" w:hAnsi="Courier New" w:cs="Courier New" w:hint="default"/>
      </w:rPr>
    </w:lvl>
    <w:lvl w:ilvl="2" w:tplc="1C090005" w:tentative="1">
      <w:start w:val="1"/>
      <w:numFmt w:val="bullet"/>
      <w:lvlText w:val=""/>
      <w:lvlJc w:val="left"/>
      <w:pPr>
        <w:ind w:left="2728" w:hanging="360"/>
      </w:pPr>
      <w:rPr>
        <w:rFonts w:ascii="Wingdings" w:hAnsi="Wingdings"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29">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7"/>
  </w:num>
  <w:num w:numId="3">
    <w:abstractNumId w:val="8"/>
  </w:num>
  <w:num w:numId="4">
    <w:abstractNumId w:val="9"/>
  </w:num>
  <w:num w:numId="5">
    <w:abstractNumId w:val="3"/>
  </w:num>
  <w:num w:numId="6">
    <w:abstractNumId w:val="19"/>
  </w:num>
  <w:num w:numId="7">
    <w:abstractNumId w:val="7"/>
  </w:num>
  <w:num w:numId="8">
    <w:abstractNumId w:val="4"/>
  </w:num>
  <w:num w:numId="9">
    <w:abstractNumId w:val="24"/>
  </w:num>
  <w:num w:numId="10">
    <w:abstractNumId w:val="16"/>
  </w:num>
  <w:num w:numId="11">
    <w:abstractNumId w:val="22"/>
  </w:num>
  <w:num w:numId="12">
    <w:abstractNumId w:val="26"/>
  </w:num>
  <w:num w:numId="13">
    <w:abstractNumId w:val="17"/>
  </w:num>
  <w:num w:numId="14">
    <w:abstractNumId w:val="6"/>
  </w:num>
  <w:num w:numId="15">
    <w:abstractNumId w:val="11"/>
  </w:num>
  <w:num w:numId="16">
    <w:abstractNumId w:val="15"/>
  </w:num>
  <w:num w:numId="17">
    <w:abstractNumId w:val="10"/>
  </w:num>
  <w:num w:numId="18">
    <w:abstractNumId w:val="13"/>
  </w:num>
  <w:num w:numId="19">
    <w:abstractNumId w:val="14"/>
  </w:num>
  <w:num w:numId="20">
    <w:abstractNumId w:val="21"/>
  </w:num>
  <w:num w:numId="21">
    <w:abstractNumId w:val="12"/>
  </w:num>
  <w:num w:numId="22">
    <w:abstractNumId w:val="20"/>
  </w:num>
  <w:num w:numId="23">
    <w:abstractNumId w:val="18"/>
  </w:num>
  <w:num w:numId="24">
    <w:abstractNumId w:val="30"/>
  </w:num>
  <w:num w:numId="25">
    <w:abstractNumId w:val="5"/>
  </w:num>
  <w:num w:numId="26">
    <w:abstractNumId w:val="25"/>
  </w:num>
  <w:num w:numId="27">
    <w:abstractNumId w:val="2"/>
  </w:num>
  <w:num w:numId="28">
    <w:abstractNumId w:val="29"/>
  </w:num>
  <w:num w:numId="29">
    <w:abstractNumId w:val="0"/>
  </w:num>
  <w:num w:numId="30">
    <w:abstractNumId w:val="23"/>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54CDA"/>
    <w:rsid w:val="00070783"/>
    <w:rsid w:val="000748BF"/>
    <w:rsid w:val="000C3341"/>
    <w:rsid w:val="000C44F3"/>
    <w:rsid w:val="000C51A5"/>
    <w:rsid w:val="00182940"/>
    <w:rsid w:val="001839A9"/>
    <w:rsid w:val="001C460C"/>
    <w:rsid w:val="001C5D48"/>
    <w:rsid w:val="001D19B0"/>
    <w:rsid w:val="001D1F08"/>
    <w:rsid w:val="001E3CFB"/>
    <w:rsid w:val="001E58B5"/>
    <w:rsid w:val="00213542"/>
    <w:rsid w:val="00291824"/>
    <w:rsid w:val="002E24A9"/>
    <w:rsid w:val="002F279D"/>
    <w:rsid w:val="002F397B"/>
    <w:rsid w:val="003111B9"/>
    <w:rsid w:val="0032627A"/>
    <w:rsid w:val="003334EC"/>
    <w:rsid w:val="0034008B"/>
    <w:rsid w:val="0034264B"/>
    <w:rsid w:val="00364A80"/>
    <w:rsid w:val="003715E8"/>
    <w:rsid w:val="003766B1"/>
    <w:rsid w:val="0038039F"/>
    <w:rsid w:val="00387417"/>
    <w:rsid w:val="003A1E40"/>
    <w:rsid w:val="003A42D5"/>
    <w:rsid w:val="003C5683"/>
    <w:rsid w:val="003D4737"/>
    <w:rsid w:val="004009F4"/>
    <w:rsid w:val="00471ABE"/>
    <w:rsid w:val="0047408B"/>
    <w:rsid w:val="004945AB"/>
    <w:rsid w:val="004B2C2E"/>
    <w:rsid w:val="004D02F7"/>
    <w:rsid w:val="00504917"/>
    <w:rsid w:val="00545830"/>
    <w:rsid w:val="005C13B9"/>
    <w:rsid w:val="005C36B5"/>
    <w:rsid w:val="006016C0"/>
    <w:rsid w:val="006271AD"/>
    <w:rsid w:val="00627B0B"/>
    <w:rsid w:val="00632E4F"/>
    <w:rsid w:val="006333D4"/>
    <w:rsid w:val="006346AA"/>
    <w:rsid w:val="00655403"/>
    <w:rsid w:val="006635C2"/>
    <w:rsid w:val="006A1A89"/>
    <w:rsid w:val="006A395A"/>
    <w:rsid w:val="006B0355"/>
    <w:rsid w:val="006C22EF"/>
    <w:rsid w:val="006F2A18"/>
    <w:rsid w:val="00706DAE"/>
    <w:rsid w:val="00754EF7"/>
    <w:rsid w:val="007A55E7"/>
    <w:rsid w:val="007F5766"/>
    <w:rsid w:val="008009FC"/>
    <w:rsid w:val="008121CD"/>
    <w:rsid w:val="0083640D"/>
    <w:rsid w:val="0083779E"/>
    <w:rsid w:val="008912FA"/>
    <w:rsid w:val="008A7A9A"/>
    <w:rsid w:val="008B0B46"/>
    <w:rsid w:val="008B55A3"/>
    <w:rsid w:val="008E73A3"/>
    <w:rsid w:val="0091328D"/>
    <w:rsid w:val="00940CDA"/>
    <w:rsid w:val="00941455"/>
    <w:rsid w:val="0094185D"/>
    <w:rsid w:val="00972BD7"/>
    <w:rsid w:val="00975E93"/>
    <w:rsid w:val="009A0955"/>
    <w:rsid w:val="009A58D0"/>
    <w:rsid w:val="00A44447"/>
    <w:rsid w:val="00A46FF7"/>
    <w:rsid w:val="00A70EBC"/>
    <w:rsid w:val="00A72A6B"/>
    <w:rsid w:val="00A75AB3"/>
    <w:rsid w:val="00A76D97"/>
    <w:rsid w:val="00A87458"/>
    <w:rsid w:val="00AD2AEF"/>
    <w:rsid w:val="00AE2A23"/>
    <w:rsid w:val="00B115A7"/>
    <w:rsid w:val="00B12CA0"/>
    <w:rsid w:val="00B359B5"/>
    <w:rsid w:val="00B60AC6"/>
    <w:rsid w:val="00B71DB5"/>
    <w:rsid w:val="00B911AA"/>
    <w:rsid w:val="00BB4F53"/>
    <w:rsid w:val="00BD539F"/>
    <w:rsid w:val="00C14944"/>
    <w:rsid w:val="00C24A26"/>
    <w:rsid w:val="00C339C8"/>
    <w:rsid w:val="00C53330"/>
    <w:rsid w:val="00C90BB2"/>
    <w:rsid w:val="00CD4D2F"/>
    <w:rsid w:val="00CE7BA6"/>
    <w:rsid w:val="00D021EC"/>
    <w:rsid w:val="00D100A6"/>
    <w:rsid w:val="00D27D2D"/>
    <w:rsid w:val="00D47F8D"/>
    <w:rsid w:val="00DB70E5"/>
    <w:rsid w:val="00DC2F7B"/>
    <w:rsid w:val="00DF1C27"/>
    <w:rsid w:val="00E4192C"/>
    <w:rsid w:val="00E47924"/>
    <w:rsid w:val="00E54B68"/>
    <w:rsid w:val="00E81B44"/>
    <w:rsid w:val="00E94463"/>
    <w:rsid w:val="00EA170D"/>
    <w:rsid w:val="00EE5E4C"/>
    <w:rsid w:val="00EF0544"/>
    <w:rsid w:val="00F1693A"/>
    <w:rsid w:val="00F4258D"/>
    <w:rsid w:val="00F73FD0"/>
    <w:rsid w:val="00F74A24"/>
    <w:rsid w:val="00F94329"/>
    <w:rsid w:val="00FA0531"/>
    <w:rsid w:val="00FC4B41"/>
    <w:rsid w:val="00FC5EC3"/>
    <w:rsid w:val="00FD2231"/>
    <w:rsid w:val="00FD477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98EF-4846-4F3A-B040-9F676EA2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2020-11-17T14:17:00Z</cp:lastPrinted>
  <dcterms:created xsi:type="dcterms:W3CDTF">2020-12-08T17:31:00Z</dcterms:created>
  <dcterms:modified xsi:type="dcterms:W3CDTF">2020-12-08T17:31:00Z</dcterms:modified>
</cp:coreProperties>
</file>