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0F4B3B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02A6F">
        <w:rPr>
          <w:rFonts w:ascii="Arial" w:hAnsi="Arial" w:cs="Arial"/>
          <w:b/>
          <w:sz w:val="22"/>
          <w:szCs w:val="22"/>
          <w:u w:val="single"/>
        </w:rPr>
        <w:t>2</w:t>
      </w:r>
      <w:r w:rsidR="003C5AB7">
        <w:rPr>
          <w:rFonts w:ascii="Arial" w:hAnsi="Arial" w:cs="Arial"/>
          <w:b/>
          <w:sz w:val="22"/>
          <w:szCs w:val="22"/>
          <w:u w:val="single"/>
        </w:rPr>
        <w:t>694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C5AB7">
        <w:rPr>
          <w:rFonts w:ascii="Arial" w:hAnsi="Arial" w:cs="Arial"/>
          <w:b/>
          <w:sz w:val="22"/>
          <w:szCs w:val="22"/>
          <w:u w:val="single"/>
        </w:rPr>
        <w:t>02 DECEMBER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C5AB7">
        <w:rPr>
          <w:rFonts w:ascii="Arial" w:hAnsi="Arial" w:cs="Arial"/>
          <w:b/>
          <w:sz w:val="22"/>
          <w:szCs w:val="22"/>
          <w:u w:val="single"/>
        </w:rPr>
        <w:t>42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97B42" w:rsidRDefault="00297B42" w:rsidP="00297B42">
      <w:pPr>
        <w:rPr>
          <w:rFonts w:ascii="Arial" w:hAnsi="Arial" w:cs="Arial"/>
          <w:b/>
          <w:sz w:val="22"/>
          <w:szCs w:val="22"/>
        </w:rPr>
      </w:pPr>
    </w:p>
    <w:p w:rsidR="003C5AB7" w:rsidRPr="003C5AB7" w:rsidRDefault="003C5AB7" w:rsidP="003C5AB7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C5AB7">
        <w:rPr>
          <w:rFonts w:ascii="Arial" w:hAnsi="Arial" w:cs="Arial"/>
          <w:b/>
          <w:sz w:val="22"/>
          <w:szCs w:val="22"/>
        </w:rPr>
        <w:t>2694.</w:t>
      </w:r>
      <w:r w:rsidRPr="003C5AB7">
        <w:rPr>
          <w:rFonts w:ascii="Arial" w:hAnsi="Arial" w:cs="Arial"/>
          <w:b/>
          <w:sz w:val="22"/>
          <w:szCs w:val="22"/>
        </w:rPr>
        <w:tab/>
        <w:t>Mr R K Purdon (DA) to ask the Minister of Water and Sanitation:</w:t>
      </w:r>
    </w:p>
    <w:p w:rsidR="003C5AB7" w:rsidRPr="003C5AB7" w:rsidRDefault="003C5AB7" w:rsidP="003C5AB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 w:rsidRPr="003C5AB7">
        <w:rPr>
          <w:rFonts w:ascii="Arial" w:hAnsi="Arial" w:cs="Arial"/>
          <w:sz w:val="22"/>
          <w:szCs w:val="22"/>
        </w:rPr>
        <w:t>(1)</w:t>
      </w:r>
      <w:r w:rsidRPr="003C5AB7">
        <w:rPr>
          <w:rFonts w:ascii="Arial" w:hAnsi="Arial" w:cs="Arial"/>
          <w:sz w:val="22"/>
          <w:szCs w:val="22"/>
        </w:rPr>
        <w:tab/>
        <w:t xml:space="preserve">With reference to the critical drought that is severely affecting major parts of the </w:t>
      </w:r>
      <w:r w:rsidRPr="003C5AB7">
        <w:rPr>
          <w:rFonts w:ascii="Arial" w:eastAsia="Calibri" w:hAnsi="Arial" w:cs="Arial"/>
          <w:noProof/>
          <w:sz w:val="22"/>
          <w:szCs w:val="22"/>
        </w:rPr>
        <w:t>Republic</w:t>
      </w:r>
      <w:r w:rsidRPr="003C5AB7">
        <w:rPr>
          <w:rFonts w:ascii="Arial" w:hAnsi="Arial" w:cs="Arial"/>
          <w:sz w:val="22"/>
          <w:szCs w:val="22"/>
        </w:rPr>
        <w:t xml:space="preserve">, (a) which of the country’s major storage dams are currently under 35% </w:t>
      </w:r>
      <w:r w:rsidRPr="003C5AB7">
        <w:rPr>
          <w:rFonts w:ascii="Arial" w:eastAsia="Calibri" w:hAnsi="Arial" w:cs="Arial"/>
          <w:sz w:val="22"/>
          <w:szCs w:val="22"/>
        </w:rPr>
        <w:t>capacity</w:t>
      </w:r>
      <w:r w:rsidRPr="003C5AB7">
        <w:rPr>
          <w:rFonts w:ascii="Arial" w:hAnsi="Arial" w:cs="Arial"/>
          <w:sz w:val="22"/>
          <w:szCs w:val="22"/>
        </w:rPr>
        <w:t xml:space="preserve"> in each province and (b) what measures has her department put in place to urgently conserve the water in the specified dams;</w:t>
      </w:r>
    </w:p>
    <w:p w:rsidR="003C5AB7" w:rsidRPr="003C5AB7" w:rsidRDefault="003C5AB7" w:rsidP="003C5AB7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 w:rsidRPr="003C5AB7">
        <w:rPr>
          <w:rFonts w:ascii="Arial" w:hAnsi="Arial" w:cs="Arial"/>
          <w:sz w:val="22"/>
          <w:szCs w:val="22"/>
        </w:rPr>
        <w:t>(2)</w:t>
      </w:r>
      <w:r w:rsidRPr="003C5AB7">
        <w:rPr>
          <w:rFonts w:ascii="Arial" w:hAnsi="Arial" w:cs="Arial"/>
          <w:sz w:val="22"/>
          <w:szCs w:val="22"/>
        </w:rPr>
        <w:tab/>
        <w:t>whether each municipality affected by the dams is implementing stringent measures to conserve water; if not, (a) why not and (b) what steps will she take</w:t>
      </w:r>
      <w:r w:rsidR="00357C5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C5AB7">
        <w:rPr>
          <w:rFonts w:ascii="Arial" w:hAnsi="Arial" w:cs="Arial"/>
          <w:sz w:val="22"/>
          <w:szCs w:val="22"/>
        </w:rPr>
        <w:t>in this regard; if so, (i) did the specified municipalities receive direction from the Government and (ii) what are the further relevant details in this regard?</w:t>
      </w:r>
      <w:r w:rsidRPr="003C5AB7">
        <w:rPr>
          <w:rFonts w:ascii="Arial" w:hAnsi="Arial" w:cs="Arial"/>
          <w:sz w:val="22"/>
          <w:szCs w:val="22"/>
        </w:rPr>
        <w:tab/>
      </w:r>
      <w:r w:rsidRPr="003C5A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5AB7">
        <w:rPr>
          <w:rFonts w:ascii="Arial" w:hAnsi="Arial" w:cs="Arial"/>
          <w:sz w:val="16"/>
          <w:szCs w:val="16"/>
        </w:rPr>
        <w:t>NW3185E</w:t>
      </w:r>
    </w:p>
    <w:p w:rsidR="00355562" w:rsidRPr="00CC596F" w:rsidRDefault="008A7DCE" w:rsidP="00D00F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753434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753434">
        <w:rPr>
          <w:rFonts w:ascii="Arial" w:hAnsi="Arial" w:cs="Arial"/>
          <w:bCs/>
          <w:sz w:val="22"/>
          <w:szCs w:val="22"/>
        </w:rPr>
        <w:tab/>
      </w:r>
      <w:r w:rsidR="00B2157C" w:rsidRPr="00753434">
        <w:rPr>
          <w:rFonts w:ascii="Arial" w:hAnsi="Arial" w:cs="Arial"/>
          <w:bCs/>
          <w:sz w:val="22"/>
          <w:szCs w:val="22"/>
        </w:rPr>
        <w:tab/>
      </w:r>
      <w:r w:rsidR="00E010BD" w:rsidRPr="00753434">
        <w:rPr>
          <w:rFonts w:ascii="Arial" w:hAnsi="Arial" w:cs="Arial"/>
          <w:bCs/>
          <w:sz w:val="22"/>
          <w:szCs w:val="22"/>
        </w:rPr>
        <w:tab/>
      </w:r>
    </w:p>
    <w:p w:rsidR="00240308" w:rsidRDefault="00240308" w:rsidP="00240308">
      <w:pPr>
        <w:pStyle w:val="ListParagraph"/>
        <w:tabs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(1)(a)</w:t>
      </w:r>
      <w:r>
        <w:rPr>
          <w:rFonts w:ascii="Arial" w:hAnsi="Arial" w:cs="Arial"/>
          <w:sz w:val="22"/>
          <w:szCs w:val="22"/>
        </w:rPr>
        <w:tab/>
        <w:t xml:space="preserve">Refer to </w:t>
      </w:r>
      <w:r w:rsidRPr="00240308">
        <w:rPr>
          <w:rFonts w:ascii="Arial" w:hAnsi="Arial" w:cs="Arial"/>
          <w:b/>
          <w:sz w:val="22"/>
          <w:szCs w:val="22"/>
        </w:rPr>
        <w:t>Annexure A</w:t>
      </w:r>
      <w:r>
        <w:rPr>
          <w:rFonts w:ascii="Arial" w:hAnsi="Arial" w:cs="Arial"/>
          <w:sz w:val="22"/>
          <w:szCs w:val="22"/>
        </w:rPr>
        <w:t xml:space="preserve"> for t</w:t>
      </w:r>
      <w:r w:rsidR="00307EE6">
        <w:rPr>
          <w:rFonts w:ascii="Arial" w:hAnsi="Arial" w:cs="Arial"/>
          <w:sz w:val="22"/>
          <w:szCs w:val="22"/>
        </w:rPr>
        <w:t>he list of the country's major d</w:t>
      </w:r>
      <w:r>
        <w:rPr>
          <w:rFonts w:ascii="Arial" w:hAnsi="Arial" w:cs="Arial"/>
          <w:sz w:val="22"/>
          <w:szCs w:val="22"/>
        </w:rPr>
        <w:t>ams that are below 35%.</w:t>
      </w:r>
    </w:p>
    <w:p w:rsidR="00240308" w:rsidRDefault="00240308" w:rsidP="00240308">
      <w:pPr>
        <w:pStyle w:val="ListParagraph"/>
        <w:tabs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A029DF" w:rsidRPr="00A029DF" w:rsidRDefault="00240308" w:rsidP="00240308">
      <w:pPr>
        <w:pStyle w:val="ListParagraph"/>
        <w:tabs>
          <w:tab w:val="left" w:pos="144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>
        <w:rPr>
          <w:rFonts w:ascii="Arial" w:hAnsi="Arial" w:cs="Arial"/>
          <w:sz w:val="22"/>
          <w:szCs w:val="22"/>
        </w:rPr>
        <w:tab/>
        <w:t>My</w:t>
      </w:r>
      <w:r w:rsidR="00A029DF" w:rsidRPr="00753434">
        <w:rPr>
          <w:rFonts w:ascii="Arial" w:hAnsi="Arial" w:cs="Arial"/>
          <w:sz w:val="22"/>
          <w:szCs w:val="22"/>
        </w:rPr>
        <w:t xml:space="preserve"> Department </w:t>
      </w:r>
      <w:r w:rsidR="00185C78">
        <w:rPr>
          <w:rFonts w:ascii="Arial" w:hAnsi="Arial" w:cs="Arial"/>
          <w:sz w:val="22"/>
          <w:szCs w:val="22"/>
        </w:rPr>
        <w:t xml:space="preserve">develops annual operating rules which include drought restrictions rules. These are communicated to stakeholders at the </w:t>
      </w:r>
      <w:r w:rsidR="00A029DF">
        <w:rPr>
          <w:rFonts w:ascii="Arial" w:hAnsi="Arial" w:cs="Arial"/>
          <w:sz w:val="22"/>
          <w:szCs w:val="22"/>
        </w:rPr>
        <w:t>System Operations Forums</w:t>
      </w:r>
      <w:r w:rsidR="00185C78">
        <w:rPr>
          <w:rFonts w:ascii="Arial" w:hAnsi="Arial" w:cs="Arial"/>
          <w:sz w:val="22"/>
          <w:szCs w:val="22"/>
        </w:rPr>
        <w:t xml:space="preserve">. In addition </w:t>
      </w:r>
      <w:r w:rsidR="00185C78" w:rsidRPr="00753434">
        <w:rPr>
          <w:rFonts w:ascii="Arial" w:hAnsi="Arial" w:cs="Arial"/>
          <w:sz w:val="22"/>
          <w:szCs w:val="22"/>
        </w:rPr>
        <w:t>Joint Operations Committee</w:t>
      </w:r>
      <w:r w:rsidR="00185C78">
        <w:rPr>
          <w:rFonts w:ascii="Arial" w:hAnsi="Arial" w:cs="Arial"/>
          <w:sz w:val="22"/>
          <w:szCs w:val="22"/>
        </w:rPr>
        <w:t>s</w:t>
      </w:r>
      <w:r w:rsidR="00615BDB">
        <w:rPr>
          <w:rFonts w:ascii="Arial" w:hAnsi="Arial" w:cs="Arial"/>
          <w:sz w:val="22"/>
          <w:szCs w:val="22"/>
        </w:rPr>
        <w:t xml:space="preserve"> </w:t>
      </w:r>
      <w:r w:rsidR="00185C78">
        <w:rPr>
          <w:rFonts w:ascii="Arial" w:hAnsi="Arial" w:cs="Arial"/>
          <w:sz w:val="22"/>
          <w:szCs w:val="22"/>
        </w:rPr>
        <w:t xml:space="preserve">are established to monitor progress on the implementation of water restrictions </w:t>
      </w:r>
      <w:r w:rsidR="00A029DF">
        <w:rPr>
          <w:rFonts w:ascii="Arial" w:hAnsi="Arial" w:cs="Arial"/>
          <w:sz w:val="22"/>
          <w:szCs w:val="22"/>
        </w:rPr>
        <w:t xml:space="preserve">and </w:t>
      </w:r>
      <w:r w:rsidR="00307EE6">
        <w:rPr>
          <w:rFonts w:ascii="Arial" w:hAnsi="Arial" w:cs="Arial"/>
          <w:sz w:val="22"/>
          <w:szCs w:val="22"/>
        </w:rPr>
        <w:t>advic</w:t>
      </w:r>
      <w:r w:rsidR="00185C78">
        <w:rPr>
          <w:rFonts w:ascii="Arial" w:hAnsi="Arial" w:cs="Arial"/>
          <w:sz w:val="22"/>
          <w:szCs w:val="22"/>
        </w:rPr>
        <w:t>e provi</w:t>
      </w:r>
      <w:r w:rsidR="00A029DF" w:rsidRPr="00753434">
        <w:rPr>
          <w:rFonts w:ascii="Arial" w:hAnsi="Arial" w:cs="Arial"/>
          <w:sz w:val="22"/>
          <w:szCs w:val="22"/>
        </w:rPr>
        <w:t>ded on further interventions where necessary e.g installation of flow restrictors at household level or supply through water tankers, drilling of boreholes etc.</w:t>
      </w:r>
      <w:r w:rsidR="00185C78">
        <w:rPr>
          <w:rFonts w:ascii="Arial" w:hAnsi="Arial" w:cs="Arial"/>
          <w:sz w:val="22"/>
          <w:szCs w:val="22"/>
        </w:rPr>
        <w:t xml:space="preserve"> Further details are given in the table and section 2 of the </w:t>
      </w:r>
      <w:r w:rsidR="00F60B04">
        <w:rPr>
          <w:rFonts w:ascii="Arial" w:hAnsi="Arial" w:cs="Arial"/>
          <w:sz w:val="22"/>
          <w:szCs w:val="22"/>
        </w:rPr>
        <w:t>response</w:t>
      </w:r>
      <w:r w:rsidR="00185C78">
        <w:rPr>
          <w:rFonts w:ascii="Arial" w:hAnsi="Arial" w:cs="Arial"/>
          <w:sz w:val="22"/>
          <w:szCs w:val="22"/>
        </w:rPr>
        <w:t xml:space="preserve"> below</w:t>
      </w:r>
      <w:r w:rsidR="00615BDB">
        <w:rPr>
          <w:rFonts w:ascii="Arial" w:hAnsi="Arial" w:cs="Arial"/>
          <w:sz w:val="22"/>
          <w:szCs w:val="22"/>
        </w:rPr>
        <w:t>.</w:t>
      </w:r>
    </w:p>
    <w:p w:rsidR="00060230" w:rsidRPr="00644D7C" w:rsidRDefault="00D638C8" w:rsidP="00307EE6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753434">
        <w:rPr>
          <w:rFonts w:ascii="Arial" w:hAnsi="Arial" w:cs="Arial"/>
          <w:sz w:val="22"/>
          <w:szCs w:val="22"/>
        </w:rPr>
        <w:t>(2</w:t>
      </w:r>
      <w:r w:rsidR="00240308">
        <w:rPr>
          <w:rFonts w:ascii="Arial" w:hAnsi="Arial" w:cs="Arial"/>
          <w:sz w:val="22"/>
          <w:szCs w:val="22"/>
        </w:rPr>
        <w:t>)</w:t>
      </w:r>
      <w:r w:rsidR="00060230" w:rsidRPr="00644D7C">
        <w:rPr>
          <w:rFonts w:ascii="Arial" w:hAnsi="Arial" w:cs="Arial"/>
          <w:sz w:val="22"/>
          <w:szCs w:val="22"/>
        </w:rPr>
        <w:t>(a)</w:t>
      </w:r>
      <w:r w:rsidR="00240308">
        <w:rPr>
          <w:rFonts w:ascii="Arial" w:hAnsi="Arial" w:cs="Arial"/>
          <w:sz w:val="22"/>
          <w:szCs w:val="22"/>
        </w:rPr>
        <w:tab/>
      </w:r>
      <w:r w:rsidR="0030066C">
        <w:rPr>
          <w:rFonts w:ascii="Arial" w:hAnsi="Arial" w:cs="Arial"/>
          <w:sz w:val="22"/>
          <w:szCs w:val="22"/>
        </w:rPr>
        <w:t>Yes.</w:t>
      </w:r>
      <w:r w:rsidR="00060230" w:rsidRPr="00644D7C">
        <w:rPr>
          <w:rFonts w:ascii="Arial" w:hAnsi="Arial" w:cs="Arial"/>
          <w:sz w:val="22"/>
          <w:szCs w:val="22"/>
        </w:rPr>
        <w:t xml:space="preserve"> Most of the municipalities are implementing</w:t>
      </w:r>
      <w:r w:rsidR="00240308">
        <w:rPr>
          <w:rFonts w:ascii="Arial" w:hAnsi="Arial" w:cs="Arial"/>
          <w:sz w:val="22"/>
          <w:szCs w:val="22"/>
        </w:rPr>
        <w:t xml:space="preserve"> </w:t>
      </w:r>
      <w:r w:rsidR="00060230" w:rsidRPr="00644D7C">
        <w:rPr>
          <w:rFonts w:ascii="Arial" w:hAnsi="Arial" w:cs="Arial"/>
          <w:sz w:val="22"/>
          <w:szCs w:val="22"/>
        </w:rPr>
        <w:t xml:space="preserve">measures to conserve water and there is already a reduction in demand. The </w:t>
      </w:r>
      <w:r w:rsidR="00A029DF" w:rsidRPr="00644D7C">
        <w:rPr>
          <w:rFonts w:ascii="Arial" w:hAnsi="Arial" w:cs="Arial"/>
          <w:sz w:val="22"/>
          <w:szCs w:val="22"/>
        </w:rPr>
        <w:t>measures include</w:t>
      </w:r>
      <w:r w:rsidR="00060230" w:rsidRPr="00644D7C">
        <w:rPr>
          <w:rFonts w:ascii="Arial" w:hAnsi="Arial" w:cs="Arial"/>
          <w:sz w:val="22"/>
          <w:szCs w:val="22"/>
        </w:rPr>
        <w:t>:</w:t>
      </w:r>
    </w:p>
    <w:p w:rsidR="00060230" w:rsidRPr="001413EE" w:rsidRDefault="00060230" w:rsidP="00307EE6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 w:hanging="630"/>
        <w:jc w:val="both"/>
        <w:rPr>
          <w:rFonts w:ascii="Arial" w:hAnsi="Arial" w:cs="Arial"/>
          <w:sz w:val="22"/>
          <w:szCs w:val="22"/>
        </w:rPr>
      </w:pPr>
      <w:r w:rsidRPr="001413EE">
        <w:rPr>
          <w:rFonts w:ascii="Arial" w:hAnsi="Arial" w:cs="Arial"/>
          <w:sz w:val="22"/>
          <w:szCs w:val="22"/>
        </w:rPr>
        <w:t>Restrictors on the bulk meters and the reticulation meters, some municipalities are also restricting consumer meters</w:t>
      </w:r>
      <w:r w:rsidR="005B32FC">
        <w:rPr>
          <w:rFonts w:ascii="Arial" w:hAnsi="Arial" w:cs="Arial"/>
          <w:sz w:val="22"/>
          <w:szCs w:val="22"/>
        </w:rPr>
        <w:t>;</w:t>
      </w:r>
    </w:p>
    <w:p w:rsidR="00060230" w:rsidRPr="001413EE" w:rsidRDefault="00060230" w:rsidP="00307EE6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 w:hanging="630"/>
        <w:jc w:val="both"/>
        <w:rPr>
          <w:rFonts w:ascii="Arial" w:hAnsi="Arial" w:cs="Arial"/>
          <w:sz w:val="22"/>
          <w:szCs w:val="22"/>
        </w:rPr>
      </w:pPr>
      <w:r w:rsidRPr="001413EE">
        <w:rPr>
          <w:rFonts w:ascii="Arial" w:hAnsi="Arial" w:cs="Arial"/>
          <w:sz w:val="22"/>
          <w:szCs w:val="22"/>
        </w:rPr>
        <w:t>Pressure Management</w:t>
      </w:r>
      <w:r w:rsidR="005B32FC">
        <w:rPr>
          <w:rFonts w:ascii="Arial" w:hAnsi="Arial" w:cs="Arial"/>
          <w:sz w:val="22"/>
          <w:szCs w:val="22"/>
        </w:rPr>
        <w:t>;</w:t>
      </w:r>
    </w:p>
    <w:p w:rsidR="00060230" w:rsidRPr="001413EE" w:rsidRDefault="00060230" w:rsidP="00307EE6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 w:hanging="630"/>
        <w:jc w:val="both"/>
        <w:rPr>
          <w:rFonts w:ascii="Arial" w:hAnsi="Arial" w:cs="Arial"/>
          <w:sz w:val="22"/>
          <w:szCs w:val="22"/>
        </w:rPr>
      </w:pPr>
      <w:r w:rsidRPr="001413EE">
        <w:rPr>
          <w:rFonts w:ascii="Arial" w:hAnsi="Arial" w:cs="Arial"/>
          <w:sz w:val="22"/>
          <w:szCs w:val="22"/>
        </w:rPr>
        <w:t>Education and awareness</w:t>
      </w:r>
      <w:r w:rsidR="005B32FC">
        <w:rPr>
          <w:rFonts w:ascii="Arial" w:hAnsi="Arial" w:cs="Arial"/>
          <w:sz w:val="22"/>
          <w:szCs w:val="22"/>
        </w:rPr>
        <w:t>;</w:t>
      </w:r>
    </w:p>
    <w:p w:rsidR="00060230" w:rsidRPr="001413EE" w:rsidRDefault="00060230" w:rsidP="00307EE6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 w:hanging="630"/>
        <w:jc w:val="both"/>
        <w:rPr>
          <w:rFonts w:ascii="Arial" w:hAnsi="Arial" w:cs="Arial"/>
          <w:sz w:val="22"/>
          <w:szCs w:val="22"/>
        </w:rPr>
      </w:pPr>
      <w:r w:rsidRPr="001413EE">
        <w:rPr>
          <w:rFonts w:ascii="Arial" w:hAnsi="Arial" w:cs="Arial"/>
          <w:sz w:val="22"/>
          <w:szCs w:val="22"/>
        </w:rPr>
        <w:t>Water rationing</w:t>
      </w:r>
      <w:r w:rsidR="005B32FC">
        <w:rPr>
          <w:rFonts w:ascii="Arial" w:hAnsi="Arial" w:cs="Arial"/>
          <w:sz w:val="22"/>
          <w:szCs w:val="22"/>
        </w:rPr>
        <w:t>;</w:t>
      </w:r>
    </w:p>
    <w:p w:rsidR="00060230" w:rsidRPr="001413EE" w:rsidRDefault="00060230" w:rsidP="00307EE6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 w:hanging="630"/>
        <w:jc w:val="both"/>
        <w:rPr>
          <w:rFonts w:ascii="Arial" w:hAnsi="Arial" w:cs="Arial"/>
          <w:sz w:val="22"/>
          <w:szCs w:val="22"/>
        </w:rPr>
      </w:pPr>
      <w:r w:rsidRPr="001413EE">
        <w:rPr>
          <w:rFonts w:ascii="Arial" w:hAnsi="Arial" w:cs="Arial"/>
          <w:sz w:val="22"/>
          <w:szCs w:val="22"/>
        </w:rPr>
        <w:t>Monitoring Minimum Night Flows</w:t>
      </w:r>
      <w:r w:rsidR="005B32FC">
        <w:rPr>
          <w:rFonts w:ascii="Arial" w:hAnsi="Arial" w:cs="Arial"/>
          <w:sz w:val="22"/>
          <w:szCs w:val="22"/>
        </w:rPr>
        <w:t>;</w:t>
      </w:r>
    </w:p>
    <w:p w:rsidR="00240308" w:rsidRDefault="00060230" w:rsidP="00240308">
      <w:pPr>
        <w:pStyle w:val="ListParagraph"/>
        <w:numPr>
          <w:ilvl w:val="0"/>
          <w:numId w:val="2"/>
        </w:numPr>
        <w:spacing w:before="100" w:beforeAutospacing="1" w:after="100" w:afterAutospacing="1"/>
        <w:ind w:left="2160" w:hanging="630"/>
        <w:jc w:val="both"/>
        <w:rPr>
          <w:rFonts w:ascii="Arial" w:hAnsi="Arial" w:cs="Arial"/>
          <w:sz w:val="22"/>
          <w:szCs w:val="22"/>
        </w:rPr>
      </w:pPr>
      <w:r w:rsidRPr="001413EE">
        <w:rPr>
          <w:rFonts w:ascii="Arial" w:hAnsi="Arial" w:cs="Arial"/>
          <w:sz w:val="22"/>
          <w:szCs w:val="22"/>
        </w:rPr>
        <w:t xml:space="preserve">Active and passive </w:t>
      </w:r>
      <w:r>
        <w:rPr>
          <w:rFonts w:ascii="Arial" w:hAnsi="Arial" w:cs="Arial"/>
          <w:sz w:val="22"/>
          <w:szCs w:val="22"/>
        </w:rPr>
        <w:t>leakage control, etc.</w:t>
      </w:r>
    </w:p>
    <w:p w:rsidR="00240308" w:rsidRDefault="00240308" w:rsidP="00240308">
      <w:pPr>
        <w:pStyle w:val="ListParagraph"/>
        <w:spacing w:before="100" w:beforeAutospacing="1" w:after="100" w:afterAutospacing="1"/>
        <w:ind w:left="2160"/>
        <w:jc w:val="both"/>
        <w:rPr>
          <w:rFonts w:ascii="Arial" w:hAnsi="Arial" w:cs="Arial"/>
          <w:sz w:val="22"/>
          <w:szCs w:val="22"/>
        </w:rPr>
      </w:pPr>
    </w:p>
    <w:p w:rsidR="00060230" w:rsidRDefault="00240308" w:rsidP="00240308">
      <w:pPr>
        <w:pStyle w:val="ListParagraph"/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060230" w:rsidRPr="00240308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060230" w:rsidRPr="00240308">
        <w:rPr>
          <w:rFonts w:ascii="Arial" w:hAnsi="Arial" w:cs="Arial"/>
          <w:sz w:val="22"/>
          <w:szCs w:val="22"/>
        </w:rPr>
        <w:t xml:space="preserve">As mentioned in (a) above, most of the municipalities are already implementing Water Conservation </w:t>
      </w:r>
      <w:r w:rsidR="00615BDB">
        <w:rPr>
          <w:rFonts w:ascii="Arial" w:hAnsi="Arial" w:cs="Arial"/>
          <w:sz w:val="22"/>
          <w:szCs w:val="22"/>
        </w:rPr>
        <w:t xml:space="preserve">and </w:t>
      </w:r>
      <w:r w:rsidR="00060230" w:rsidRPr="00240308">
        <w:rPr>
          <w:rFonts w:ascii="Arial" w:hAnsi="Arial" w:cs="Arial"/>
          <w:sz w:val="22"/>
          <w:szCs w:val="22"/>
        </w:rPr>
        <w:t>Water Demand Management measures</w:t>
      </w:r>
      <w:r w:rsidR="0030066C" w:rsidRPr="00240308">
        <w:rPr>
          <w:rFonts w:ascii="Arial" w:hAnsi="Arial" w:cs="Arial"/>
          <w:sz w:val="22"/>
          <w:szCs w:val="22"/>
        </w:rPr>
        <w:t>, f</w:t>
      </w:r>
      <w:r w:rsidR="00060230" w:rsidRPr="00240308">
        <w:rPr>
          <w:rFonts w:ascii="Arial" w:hAnsi="Arial" w:cs="Arial"/>
          <w:sz w:val="22"/>
          <w:szCs w:val="22"/>
        </w:rPr>
        <w:t>or those th</w:t>
      </w:r>
      <w:r w:rsidR="009E19AD" w:rsidRPr="00240308">
        <w:rPr>
          <w:rFonts w:ascii="Arial" w:hAnsi="Arial" w:cs="Arial"/>
          <w:sz w:val="22"/>
          <w:szCs w:val="22"/>
        </w:rPr>
        <w:t>at are not yet implementing</w:t>
      </w:r>
      <w:r w:rsidR="0030066C" w:rsidRPr="00240308">
        <w:rPr>
          <w:rFonts w:ascii="Arial" w:hAnsi="Arial" w:cs="Arial"/>
          <w:sz w:val="22"/>
          <w:szCs w:val="22"/>
        </w:rPr>
        <w:t>.</w:t>
      </w:r>
      <w:r w:rsidR="009E19AD" w:rsidRPr="00240308">
        <w:rPr>
          <w:rFonts w:ascii="Arial" w:hAnsi="Arial" w:cs="Arial"/>
          <w:sz w:val="22"/>
          <w:szCs w:val="22"/>
        </w:rPr>
        <w:t xml:space="preserve"> It i</w:t>
      </w:r>
      <w:r w:rsidR="00060230" w:rsidRPr="00240308">
        <w:rPr>
          <w:rFonts w:ascii="Arial" w:hAnsi="Arial" w:cs="Arial"/>
          <w:sz w:val="22"/>
          <w:szCs w:val="22"/>
        </w:rPr>
        <w:t xml:space="preserve">s mainly due to lack of human and financial capacity. The </w:t>
      </w:r>
      <w:r w:rsidR="00945255">
        <w:rPr>
          <w:rFonts w:ascii="Arial" w:hAnsi="Arial" w:cs="Arial"/>
          <w:sz w:val="22"/>
          <w:szCs w:val="22"/>
        </w:rPr>
        <w:t>Department</w:t>
      </w:r>
      <w:r w:rsidR="0030066C" w:rsidRPr="00240308">
        <w:rPr>
          <w:rFonts w:ascii="Arial" w:hAnsi="Arial" w:cs="Arial"/>
          <w:sz w:val="22"/>
          <w:szCs w:val="22"/>
        </w:rPr>
        <w:t xml:space="preserve"> will continue </w:t>
      </w:r>
      <w:r w:rsidR="00060230" w:rsidRPr="00240308">
        <w:rPr>
          <w:rFonts w:ascii="Arial" w:hAnsi="Arial" w:cs="Arial"/>
          <w:sz w:val="22"/>
          <w:szCs w:val="22"/>
        </w:rPr>
        <w:t xml:space="preserve">engaging municipalities through the established structures and the </w:t>
      </w:r>
      <w:r w:rsidR="00060230" w:rsidRPr="00240308">
        <w:rPr>
          <w:rFonts w:ascii="Arial" w:hAnsi="Arial" w:cs="Arial"/>
          <w:sz w:val="22"/>
          <w:szCs w:val="22"/>
        </w:rPr>
        <w:lastRenderedPageBreak/>
        <w:t>municipalities must actively participate and report in this meetings and prioritize resources and budgets to implement Water Conservation and Water Demand Management.</w:t>
      </w:r>
    </w:p>
    <w:p w:rsidR="00D70942" w:rsidRPr="0095517A" w:rsidRDefault="00D70942" w:rsidP="00C81E59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Default="00C82A2C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Pr="005F231B" w:rsidRDefault="005F231B" w:rsidP="005F231B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  <w:lang w:val="en-ZA" w:eastAsia="en-ZA"/>
        </w:rPr>
      </w:pPr>
      <w:r w:rsidRPr="005F231B">
        <w:rPr>
          <w:rFonts w:ascii="Arial" w:hAnsi="Arial" w:cs="Arial"/>
          <w:b/>
          <w:sz w:val="22"/>
          <w:szCs w:val="22"/>
          <w:lang w:val="en-ZA" w:eastAsia="en-ZA"/>
        </w:rPr>
        <w:t>Annexure A</w:t>
      </w:r>
    </w:p>
    <w:p w:rsidR="005F231B" w:rsidRPr="005F231B" w:rsidRDefault="005F231B" w:rsidP="005F231B">
      <w:pPr>
        <w:spacing w:after="200" w:line="276" w:lineRule="auto"/>
        <w:rPr>
          <w:rFonts w:ascii="Arial" w:hAnsi="Arial" w:cs="Arial"/>
          <w:bCs/>
          <w:sz w:val="22"/>
          <w:szCs w:val="22"/>
          <w:lang w:val="pt-BR" w:eastAsia="en-ZA"/>
        </w:rPr>
      </w:pPr>
      <w:r w:rsidRPr="005F231B">
        <w:rPr>
          <w:rFonts w:ascii="Arial" w:hAnsi="Arial" w:cs="Arial"/>
          <w:b/>
          <w:sz w:val="22"/>
          <w:szCs w:val="22"/>
          <w:lang w:val="en-ZA" w:eastAsia="en-ZA"/>
        </w:rPr>
        <w:t>Table1: Country’s Major Storage Dams below 35%</w:t>
      </w:r>
    </w:p>
    <w:p w:rsidR="005F231B" w:rsidRPr="005F231B" w:rsidRDefault="005F231B" w:rsidP="005F231B">
      <w:pPr>
        <w:spacing w:after="200" w:line="276" w:lineRule="auto"/>
        <w:rPr>
          <w:rFonts w:ascii="Arial" w:hAnsi="Arial" w:cs="Arial"/>
          <w:b/>
          <w:sz w:val="20"/>
          <w:szCs w:val="20"/>
          <w:lang w:val="en-ZA" w:eastAsia="en-ZA"/>
        </w:rPr>
      </w:pPr>
      <w:r w:rsidRPr="005F231B">
        <w:rPr>
          <w:rFonts w:ascii="Arial" w:hAnsi="Arial" w:cs="Arial"/>
          <w:b/>
          <w:sz w:val="20"/>
          <w:szCs w:val="20"/>
          <w:lang w:val="en-ZA" w:eastAsia="en-ZA"/>
        </w:rPr>
        <w:t xml:space="preserve">Provinces: Free State, KwaZulu-Natal, Mpumalanga, Limpopo, Eastern Cape, North West &amp; Northern Cape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5"/>
        <w:gridCol w:w="1134"/>
        <w:gridCol w:w="709"/>
        <w:gridCol w:w="1417"/>
        <w:gridCol w:w="2268"/>
        <w:gridCol w:w="2907"/>
      </w:tblGrid>
      <w:tr w:rsidR="005F231B" w:rsidRPr="005F231B" w:rsidTr="005F231B">
        <w:trPr>
          <w:cantSplit/>
          <w:trHeight w:val="30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Reservoir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Full Supply Capacity in 10</w:t>
            </w: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ZA" w:eastAsia="en-ZA"/>
              </w:rPr>
              <w:t>6</w:t>
            </w: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 m</w:t>
            </w: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%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Municipality supplied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Measures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Implementation</w:t>
            </w:r>
          </w:p>
        </w:tc>
      </w:tr>
      <w:tr w:rsidR="005F231B" w:rsidRPr="005F231B" w:rsidTr="005F231B">
        <w:trPr>
          <w:cantSplit/>
          <w:trHeight w:val="335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Free State</w:t>
            </w:r>
          </w:p>
        </w:tc>
      </w:tr>
      <w:tr w:rsidR="005F231B" w:rsidRPr="005F231B" w:rsidTr="005F231B">
        <w:trPr>
          <w:cantSplit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Bloemhof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1 240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Lekwa-Teemane Municipality Bloemhof, Kuruman,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SOF.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12/08/16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 40203)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2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 @15%andIrrigation @ 20% are being implemented</w:t>
            </w:r>
          </w:p>
          <w:p w:rsidR="005F231B" w:rsidRPr="005F231B" w:rsidRDefault="005F231B" w:rsidP="005F231B">
            <w:pPr>
              <w:numPr>
                <w:ilvl w:val="0"/>
                <w:numId w:val="2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monitor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2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Joint Operations Committee (JOC)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2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SOF held on 1 December 2016</w:t>
            </w:r>
          </w:p>
        </w:tc>
      </w:tr>
      <w:tr w:rsidR="005F231B" w:rsidRPr="005F231B" w:rsidTr="005F231B">
        <w:trPr>
          <w:cantSplit/>
          <w:trHeight w:val="15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Kalkfontein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Kopanong Municipality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sz w:val="20"/>
                <w:szCs w:val="20"/>
                <w:lang w:val="en-ZA" w:eastAsia="en-ZA"/>
              </w:rPr>
              <w:t>(Koffiefontein, Jacobsdal, Jagersfontein and Fauresmith)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19/02/16 (No 39718)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2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 @ 40%&amp;Irrigation @100% are being implemented</w:t>
            </w:r>
          </w:p>
          <w:p w:rsidR="005F231B" w:rsidRPr="005F231B" w:rsidRDefault="005F231B" w:rsidP="005F231B">
            <w:pPr>
              <w:numPr>
                <w:ilvl w:val="0"/>
                <w:numId w:val="2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monitor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2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2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29 November 2016</w:t>
            </w:r>
          </w:p>
        </w:tc>
      </w:tr>
      <w:tr w:rsidR="005F231B" w:rsidRPr="005F231B" w:rsidTr="005F231B">
        <w:trPr>
          <w:cantSplit/>
          <w:trHeight w:val="1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Allemanskraal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1F497D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sz w:val="20"/>
                <w:szCs w:val="20"/>
                <w:lang w:val="en-ZA" w:eastAsia="en-ZA"/>
              </w:rPr>
              <w:t>Masilonyana and Tswelopele Municipality (Brandfort, Bultfontein, Theunissen and Virginia)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Restrictions gazetted on 12/08/16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 40203)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25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Domestic: 40%Irrigation 92% are being implemented</w:t>
            </w:r>
          </w:p>
          <w:p w:rsidR="005F231B" w:rsidRPr="005F231B" w:rsidRDefault="005F231B" w:rsidP="005F231B">
            <w:pPr>
              <w:numPr>
                <w:ilvl w:val="0"/>
                <w:numId w:val="25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monitor achievement of restrictions.</w:t>
            </w:r>
          </w:p>
          <w:p w:rsidR="005F231B" w:rsidRPr="005F231B" w:rsidRDefault="005F231B" w:rsidP="005F231B">
            <w:pPr>
              <w:numPr>
                <w:ilvl w:val="0"/>
                <w:numId w:val="25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restrictions. -Last Forum held on 1 December 2016</w:t>
            </w:r>
          </w:p>
        </w:tc>
      </w:tr>
      <w:tr w:rsidR="005F231B" w:rsidRPr="005F231B" w:rsidTr="005F231B">
        <w:trPr>
          <w:cantSplit/>
          <w:trHeight w:val="2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Rustfontein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Mangaung Metropolitan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 Part of Bloemfontein System.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12/02/16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No 39679.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26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Domestic: 30%Irrigation: 75% are being implemented</w:t>
            </w:r>
          </w:p>
          <w:p w:rsidR="005F231B" w:rsidRPr="005F231B" w:rsidRDefault="005F231B" w:rsidP="005F231B">
            <w:pPr>
              <w:numPr>
                <w:ilvl w:val="0"/>
                <w:numId w:val="26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monitor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26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restrictions.</w:t>
            </w:r>
          </w:p>
          <w:p w:rsidR="005F231B" w:rsidRPr="005F231B" w:rsidRDefault="005F231B" w:rsidP="005F231B">
            <w:pPr>
              <w:numPr>
                <w:ilvl w:val="0"/>
                <w:numId w:val="26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Last SOF held on 29 November 2016</w:t>
            </w:r>
          </w:p>
        </w:tc>
      </w:tr>
      <w:tr w:rsidR="005F231B" w:rsidRPr="005F231B" w:rsidTr="005F231B">
        <w:trPr>
          <w:cantSplit/>
          <w:trHeight w:val="13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Krugersdrift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26.0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sz w:val="20"/>
                <w:szCs w:val="20"/>
                <w:lang w:val="en-ZA" w:eastAsia="en-ZA"/>
              </w:rPr>
              <w:t>Ikgomotseng and Soutpan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Drought Operating Rule determined and communicated at the SOF.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19/02/16: No 39718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1B" w:rsidRPr="005F231B" w:rsidRDefault="005F231B" w:rsidP="005F231B">
            <w:pPr>
              <w:numPr>
                <w:ilvl w:val="0"/>
                <w:numId w:val="27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forDomestic: 20%Irrigation: 50% are being implemented</w:t>
            </w:r>
          </w:p>
          <w:p w:rsidR="005F231B" w:rsidRPr="005F231B" w:rsidRDefault="005F231B" w:rsidP="005F231B">
            <w:pPr>
              <w:numPr>
                <w:ilvl w:val="0"/>
                <w:numId w:val="27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monitor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27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27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SOF held on 29 November 2016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F231B" w:rsidRPr="005F231B" w:rsidTr="005F231B">
        <w:trPr>
          <w:cantSplit/>
          <w:trHeight w:val="313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KwaZulu Natal</w:t>
            </w:r>
          </w:p>
        </w:tc>
      </w:tr>
      <w:tr w:rsidR="005F231B" w:rsidRPr="005F231B" w:rsidTr="005F231B">
        <w:trPr>
          <w:cantSplit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Goedertrouw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Umhlathuze, Umlalazi, Uthungulu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SOF.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24/03/16, No 39860: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2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Domestic: 40%Irrigation: 80% Industrial: 15%are being implemented</w:t>
            </w:r>
          </w:p>
          <w:p w:rsidR="005F231B" w:rsidRPr="005F231B" w:rsidRDefault="005F231B" w:rsidP="005F231B">
            <w:pPr>
              <w:numPr>
                <w:ilvl w:val="0"/>
                <w:numId w:val="2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2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2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SOFs held on 12 July 2016</w:t>
            </w:r>
          </w:p>
        </w:tc>
      </w:tr>
      <w:tr w:rsidR="005F231B" w:rsidRPr="005F231B" w:rsidTr="005F231B">
        <w:trPr>
          <w:cantSplit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Albert Falls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Umgugundlovu, Ethekwini Metropolitan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SOF. Part of the Umgeni system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published on 24/03/16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 39860)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29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Part of the Umgeni Water Supply System which is currently at 47,6% and -Restrictions for Domestic: 15% Irrigation: 50%Industrial: 15%are being implemented</w:t>
            </w:r>
          </w:p>
          <w:p w:rsidR="005F231B" w:rsidRPr="005F231B" w:rsidRDefault="005F231B" w:rsidP="005F231B">
            <w:pPr>
              <w:numPr>
                <w:ilvl w:val="0"/>
                <w:numId w:val="29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29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29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SOF was held on 17 June 2016 as part of Mgeni SOF.</w:t>
            </w:r>
          </w:p>
        </w:tc>
      </w:tr>
      <w:tr w:rsidR="005F231B" w:rsidRPr="005F231B" w:rsidTr="005F231B">
        <w:trPr>
          <w:cantSplit/>
          <w:trHeight w:val="286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Mpumalanga</w:t>
            </w:r>
          </w:p>
        </w:tc>
      </w:tr>
      <w:tr w:rsidR="005F231B" w:rsidRPr="005F231B" w:rsidTr="005F231B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Kwena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Ehlanzeni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SOF. Part of the Crocodile System.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 notices issued by Inkomati/Usuthu Catchment Management Agency.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(Compliance not known yet)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0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Domestic, irrigation are being implemented</w:t>
            </w:r>
          </w:p>
          <w:p w:rsidR="005F231B" w:rsidRPr="005F231B" w:rsidRDefault="005F231B" w:rsidP="005F231B">
            <w:pPr>
              <w:numPr>
                <w:ilvl w:val="0"/>
                <w:numId w:val="30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0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30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Committee held on 2 November 2016 as part of the CROCOC</w:t>
            </w:r>
          </w:p>
        </w:tc>
      </w:tr>
      <w:tr w:rsidR="005F231B" w:rsidRPr="005F231B" w:rsidTr="005F231B">
        <w:trPr>
          <w:cantSplit/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Driekoppies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Nkomazi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Komati Joint Operations Forum. Part of the Komati Basin Water Authority (KOBWA)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 notices were issued.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(Compliance not yet known)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1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1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established to give direction to municipalities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31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17 November 2016 as part of KOBWA</w:t>
            </w:r>
          </w:p>
        </w:tc>
      </w:tr>
      <w:tr w:rsidR="005F231B" w:rsidRPr="005F231B" w:rsidTr="005F231B">
        <w:trPr>
          <w:cantSplit/>
          <w:trHeight w:val="348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lastRenderedPageBreak/>
              <w:t>Limpopo</w:t>
            </w:r>
          </w:p>
        </w:tc>
      </w:tr>
      <w:tr w:rsidR="005F231B" w:rsidRPr="005F231B" w:rsidTr="005F231B">
        <w:trPr>
          <w:cantSplit/>
          <w:trHeight w:val="23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Middel-Letaba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Mopani Municipality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Drought Operating Rule determined and communicated at the SOF.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16/09/16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 1066)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 20%Irrigation 80% are being implemented</w:t>
            </w:r>
          </w:p>
          <w:p w:rsidR="005F231B" w:rsidRPr="005F231B" w:rsidRDefault="005F231B" w:rsidP="005F231B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restrictions.</w:t>
            </w:r>
          </w:p>
          <w:p w:rsidR="005F231B" w:rsidRPr="005F231B" w:rsidRDefault="005F231B" w:rsidP="005F231B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32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29 April 2016 as part of the Shingwedzi CMF</w:t>
            </w:r>
          </w:p>
        </w:tc>
      </w:tr>
      <w:tr w:rsidR="005F231B" w:rsidRPr="005F231B" w:rsidTr="005F231B">
        <w:trPr>
          <w:cantSplit/>
          <w:trHeight w:val="1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Tzaneen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Mopani Municipality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Drought Operating Rule determined and communicated at the SOF.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16/09/16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 1066)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 @ 20%&amp; Irrigation @ 70% are being implemented</w:t>
            </w:r>
          </w:p>
          <w:p w:rsidR="005F231B" w:rsidRPr="005F231B" w:rsidRDefault="005F231B" w:rsidP="005F231B">
            <w:pPr>
              <w:numPr>
                <w:ilvl w:val="0"/>
                <w:numId w:val="3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JOC formed to give direction to municipality on implementing the restrictions. </w:t>
            </w:r>
          </w:p>
          <w:p w:rsidR="005F231B" w:rsidRPr="005F231B" w:rsidRDefault="005F231B" w:rsidP="005F231B">
            <w:pPr>
              <w:numPr>
                <w:ilvl w:val="0"/>
                <w:numId w:val="33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25 October 2016</w:t>
            </w:r>
          </w:p>
        </w:tc>
      </w:tr>
      <w:tr w:rsidR="005F231B" w:rsidRPr="005F231B" w:rsidTr="005F231B">
        <w:trPr>
          <w:cantSplit/>
          <w:trHeight w:val="1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Nzhelele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Thulamela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Drought Operating Rule determined and communicated at the SOF.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16/09/16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(No. 1066)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Irrigation: 40% are being implemented</w:t>
            </w:r>
          </w:p>
          <w:p w:rsidR="005F231B" w:rsidRPr="005F231B" w:rsidRDefault="005F231B" w:rsidP="005F231B">
            <w:pPr>
              <w:numPr>
                <w:ilvl w:val="0"/>
                <w:numId w:val="3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34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21 April 2016</w:t>
            </w:r>
          </w:p>
        </w:tc>
      </w:tr>
      <w:tr w:rsidR="005F231B" w:rsidRPr="005F231B" w:rsidTr="005F231B">
        <w:trPr>
          <w:cantSplit/>
          <w:trHeight w:val="20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Flag Boshielo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Polokwane Metro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Part of the Polokwane System. Drought Operating Rule determined and communicated at the SOF.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16/09/16,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 No 40284)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5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Domestic: 30%Mining: 55% are being implemented</w:t>
            </w:r>
          </w:p>
          <w:p w:rsidR="005F231B" w:rsidRPr="005F231B" w:rsidRDefault="005F231B" w:rsidP="005F231B">
            <w:pPr>
              <w:numPr>
                <w:ilvl w:val="0"/>
                <w:numId w:val="35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5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to be established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35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25 May 2016</w:t>
            </w:r>
          </w:p>
        </w:tc>
      </w:tr>
      <w:tr w:rsidR="005F231B" w:rsidRPr="005F231B" w:rsidTr="005F231B">
        <w:trPr>
          <w:cantSplit/>
          <w:trHeight w:val="7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Rhenosterkop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Nkangala DM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Drought Operating Rule determined and communicated at the SOF. Restrictions gazetted on 16/09/16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(No. 1066)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6"/>
              </w:numPr>
              <w:spacing w:after="200" w:line="276" w:lineRule="auto"/>
              <w:ind w:left="317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for Irrigation: 60%-70%(Depending on rainfall) are being implemented</w:t>
            </w:r>
          </w:p>
          <w:p w:rsidR="005F231B" w:rsidRPr="005F231B" w:rsidRDefault="005F231B" w:rsidP="005F231B">
            <w:pPr>
              <w:numPr>
                <w:ilvl w:val="0"/>
                <w:numId w:val="36"/>
              </w:numPr>
              <w:spacing w:after="200" w:line="276" w:lineRule="auto"/>
              <w:ind w:left="317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6"/>
              </w:numPr>
              <w:spacing w:after="200" w:line="276" w:lineRule="auto"/>
              <w:ind w:left="317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36"/>
              </w:numPr>
              <w:spacing w:after="200" w:line="276" w:lineRule="auto"/>
              <w:ind w:left="317" w:hanging="283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20</w:t>
            </w:r>
            <w:r w:rsidRPr="005F231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ZA"/>
              </w:rPr>
              <w:t>th</w:t>
            </w: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April 2016</w:t>
            </w:r>
          </w:p>
        </w:tc>
      </w:tr>
    </w:tbl>
    <w:p w:rsidR="005F231B" w:rsidRPr="005F231B" w:rsidRDefault="005F231B" w:rsidP="005F231B">
      <w:pPr>
        <w:spacing w:after="200" w:line="276" w:lineRule="auto"/>
        <w:rPr>
          <w:rFonts w:ascii="Arial" w:hAnsi="Arial" w:cs="Arial"/>
          <w:sz w:val="20"/>
          <w:szCs w:val="20"/>
          <w:lang w:val="en-ZA" w:eastAsia="en-Z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5"/>
        <w:gridCol w:w="1134"/>
        <w:gridCol w:w="709"/>
        <w:gridCol w:w="1417"/>
        <w:gridCol w:w="2268"/>
        <w:gridCol w:w="2907"/>
      </w:tblGrid>
      <w:tr w:rsidR="005F231B" w:rsidRPr="005F231B" w:rsidTr="005F231B">
        <w:trPr>
          <w:cantSplit/>
          <w:trHeight w:val="365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2"/>
                <w:szCs w:val="22"/>
                <w:lang w:val="en-ZA" w:eastAsia="en-ZA"/>
              </w:rPr>
              <w:t>Eastern Cape</w:t>
            </w:r>
          </w:p>
        </w:tc>
      </w:tr>
      <w:tr w:rsidR="005F231B" w:rsidRPr="005F231B" w:rsidTr="005F231B">
        <w:trPr>
          <w:cantSplit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Darlington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Nelson Mandela Metro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Drought Operating Rule determined and communicated at the SOF.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Receiving water from the Orange River System: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published on 26/08/16 (No.40229)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The Dam is operated below 45% for Dam safety reasons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7"/>
              </w:numPr>
              <w:spacing w:after="200" w:line="276" w:lineRule="auto"/>
              <w:ind w:left="317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of 15% on all transfers form the Orange River System are being implemented</w:t>
            </w:r>
          </w:p>
          <w:p w:rsidR="005F231B" w:rsidRPr="005F231B" w:rsidRDefault="005F231B" w:rsidP="005F231B">
            <w:pPr>
              <w:numPr>
                <w:ilvl w:val="0"/>
                <w:numId w:val="37"/>
              </w:numPr>
              <w:spacing w:after="200" w:line="276" w:lineRule="auto"/>
              <w:ind w:left="317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 and communication is on-going to align information</w:t>
            </w:r>
          </w:p>
          <w:p w:rsidR="005F231B" w:rsidRPr="005F231B" w:rsidRDefault="005F231B" w:rsidP="005F231B">
            <w:pPr>
              <w:numPr>
                <w:ilvl w:val="0"/>
                <w:numId w:val="37"/>
              </w:numPr>
              <w:spacing w:after="200" w:line="276" w:lineRule="auto"/>
              <w:ind w:left="317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Last Forum held on 20 September 2016</w:t>
            </w:r>
          </w:p>
        </w:tc>
      </w:tr>
      <w:tr w:rsidR="005F231B" w:rsidRPr="005F231B" w:rsidTr="005F231B">
        <w:trPr>
          <w:cantSplit/>
          <w:trHeight w:val="354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North West</w:t>
            </w:r>
          </w:p>
        </w:tc>
      </w:tr>
      <w:tr w:rsidR="005F231B" w:rsidRPr="005F231B" w:rsidTr="005F231B">
        <w:trPr>
          <w:cantSplit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Molatedi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Moses kotane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Drought Operating Rule determined and communicated at the SOF.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Restrictions gazetted on 14/10/16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(No. 40346)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31B" w:rsidRPr="005F231B" w:rsidRDefault="005F231B" w:rsidP="005F231B">
            <w:pPr>
              <w:numPr>
                <w:ilvl w:val="0"/>
                <w:numId w:val="3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on Domestic @50%&amp; Irrigation @75% are being implemented</w:t>
            </w:r>
          </w:p>
          <w:p w:rsidR="005F231B" w:rsidRPr="005F231B" w:rsidRDefault="005F231B" w:rsidP="005F231B">
            <w:pPr>
              <w:numPr>
                <w:ilvl w:val="0"/>
                <w:numId w:val="3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JOC formed to give direction to municipality on implementing the restrictions</w:t>
            </w:r>
          </w:p>
          <w:p w:rsidR="005F231B" w:rsidRPr="005F231B" w:rsidRDefault="005F231B" w:rsidP="005F231B">
            <w:pPr>
              <w:numPr>
                <w:ilvl w:val="0"/>
                <w:numId w:val="38"/>
              </w:numPr>
              <w:spacing w:after="200" w:line="276" w:lineRule="auto"/>
              <w:ind w:left="176" w:hanging="176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Last Forum held on 16 August 2016 as part of the Marico CMF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:rsidR="005F231B" w:rsidRPr="005F231B" w:rsidRDefault="005F231B" w:rsidP="005F231B">
      <w:pPr>
        <w:spacing w:after="200" w:line="276" w:lineRule="auto"/>
        <w:rPr>
          <w:rFonts w:ascii="Arial" w:hAnsi="Arial" w:cs="Arial"/>
          <w:sz w:val="20"/>
          <w:szCs w:val="20"/>
          <w:lang w:val="en-ZA" w:eastAsia="en-Z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5"/>
        <w:gridCol w:w="1276"/>
        <w:gridCol w:w="708"/>
        <w:gridCol w:w="1560"/>
        <w:gridCol w:w="1671"/>
        <w:gridCol w:w="3220"/>
      </w:tblGrid>
      <w:tr w:rsidR="005F231B" w:rsidRPr="005F231B" w:rsidTr="005F231B">
        <w:trPr>
          <w:cantSplit/>
          <w:trHeight w:val="365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2C4"/>
            <w:noWrap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Northern Cape</w:t>
            </w:r>
          </w:p>
        </w:tc>
      </w:tr>
      <w:tr w:rsidR="005F231B" w:rsidRPr="005F231B" w:rsidTr="005F231B">
        <w:trPr>
          <w:cantSplit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Reservoir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Full Supply Capacity in 10</w:t>
            </w: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ZA" w:eastAsia="en-ZA"/>
              </w:rPr>
              <w:t>6</w:t>
            </w: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 xml:space="preserve"> m</w:t>
            </w: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n-ZA" w:eastAsia="en-Z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%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Municipality supplied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Measures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Implementation</w:t>
            </w:r>
          </w:p>
        </w:tc>
      </w:tr>
      <w:tr w:rsidR="005F231B" w:rsidRPr="005F231B" w:rsidTr="005F231B">
        <w:trPr>
          <w:cantSplit/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lastRenderedPageBreak/>
              <w:t>Spitskop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B" w:rsidRPr="005F231B" w:rsidRDefault="005F231B" w:rsidP="005F231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eastAsia="Calibri" w:hAnsi="Arial" w:cs="Arial"/>
                <w:color w:val="000000"/>
                <w:sz w:val="20"/>
                <w:szCs w:val="20"/>
                <w:lang w:eastAsia="en-ZA"/>
              </w:rPr>
              <w:t>Mmamusa Municipality SchweizerReneke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Drought Operating Rule determined and communicated at the SOF. </w:t>
            </w: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  <w:p w:rsidR="005F231B" w:rsidRPr="005F231B" w:rsidRDefault="005F231B" w:rsidP="005F231B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30% restrictions on irrigation recommended. Achievement not yet visible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231B" w:rsidRPr="005F231B" w:rsidRDefault="005F231B" w:rsidP="005F231B">
            <w:pPr>
              <w:numPr>
                <w:ilvl w:val="0"/>
                <w:numId w:val="39"/>
              </w:numPr>
              <w:spacing w:after="200" w:line="276" w:lineRule="auto"/>
              <w:ind w:left="347" w:hanging="347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Restrictions on irrigation are being implemented</w:t>
            </w:r>
          </w:p>
          <w:p w:rsidR="005F231B" w:rsidRPr="005F231B" w:rsidRDefault="005F231B" w:rsidP="005F231B">
            <w:pPr>
              <w:numPr>
                <w:ilvl w:val="0"/>
                <w:numId w:val="39"/>
              </w:numPr>
              <w:spacing w:after="200" w:line="276" w:lineRule="auto"/>
              <w:ind w:left="347" w:hanging="347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Early Warning systems established to measure achievement of restrictions</w:t>
            </w:r>
          </w:p>
          <w:p w:rsidR="005F231B" w:rsidRPr="005F231B" w:rsidRDefault="005F231B" w:rsidP="005F231B">
            <w:pPr>
              <w:numPr>
                <w:ilvl w:val="0"/>
                <w:numId w:val="39"/>
              </w:numPr>
              <w:spacing w:after="200" w:line="276" w:lineRule="auto"/>
              <w:ind w:left="347" w:hanging="347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5F231B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Last Forum held on 07 September 2016</w:t>
            </w:r>
          </w:p>
        </w:tc>
      </w:tr>
    </w:tbl>
    <w:p w:rsidR="005F231B" w:rsidRPr="005F231B" w:rsidRDefault="005F231B" w:rsidP="005F231B">
      <w:pPr>
        <w:spacing w:after="200" w:line="276" w:lineRule="auto"/>
        <w:rPr>
          <w:rFonts w:ascii="Arial" w:hAnsi="Arial" w:cs="Arial"/>
          <w:sz w:val="20"/>
          <w:szCs w:val="20"/>
          <w:lang w:val="en-ZA" w:eastAsia="en-ZA"/>
        </w:rPr>
      </w:pPr>
    </w:p>
    <w:p w:rsidR="005F231B" w:rsidRPr="005F231B" w:rsidRDefault="005F231B" w:rsidP="005F231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en-ZA" w:eastAsia="en-ZA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p w:rsidR="005F231B" w:rsidRPr="00E82D1A" w:rsidRDefault="005F231B" w:rsidP="00307EE6">
      <w:pPr>
        <w:tabs>
          <w:tab w:val="left" w:pos="540"/>
          <w:tab w:val="left" w:pos="1080"/>
        </w:tabs>
        <w:rPr>
          <w:rFonts w:ascii="Arial" w:hAnsi="Arial" w:cs="Arial"/>
          <w:bCs/>
          <w:sz w:val="20"/>
          <w:szCs w:val="20"/>
        </w:rPr>
      </w:pPr>
    </w:p>
    <w:sectPr w:rsidR="005F231B" w:rsidRPr="00E82D1A" w:rsidSect="00240308">
      <w:headerReference w:type="even" r:id="rId9"/>
      <w:footerReference w:type="default" r:id="rId10"/>
      <w:footerReference w:type="first" r:id="rId11"/>
      <w:pgSz w:w="11906" w:h="16838"/>
      <w:pgMar w:top="540" w:right="849" w:bottom="540" w:left="851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54" w:rsidRDefault="002E6B54">
      <w:r>
        <w:separator/>
      </w:r>
    </w:p>
  </w:endnote>
  <w:endnote w:type="continuationSeparator" w:id="0">
    <w:p w:rsidR="002E6B54" w:rsidRDefault="002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</w:t>
    </w:r>
    <w:r w:rsidR="003C5AB7">
      <w:rPr>
        <w:rFonts w:ascii="Arial" w:hAnsi="Arial" w:cs="Arial"/>
        <w:sz w:val="16"/>
        <w:szCs w:val="16"/>
      </w:rPr>
      <w:t>694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3C5AB7">
      <w:rPr>
        <w:rFonts w:ascii="Arial" w:hAnsi="Arial" w:cs="Arial"/>
        <w:sz w:val="16"/>
        <w:szCs w:val="16"/>
      </w:rPr>
      <w:t>3185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AE413A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777F16">
      <w:rPr>
        <w:rFonts w:ascii="Arial" w:hAnsi="Arial" w:cs="Arial"/>
        <w:sz w:val="16"/>
        <w:szCs w:val="16"/>
      </w:rPr>
      <w:t>2</w:t>
    </w:r>
    <w:r w:rsidR="003C5AB7">
      <w:rPr>
        <w:rFonts w:ascii="Arial" w:hAnsi="Arial" w:cs="Arial"/>
        <w:sz w:val="16"/>
        <w:szCs w:val="16"/>
      </w:rPr>
      <w:t>694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3C5AB7">
      <w:rPr>
        <w:rFonts w:ascii="Arial" w:hAnsi="Arial" w:cs="Arial"/>
        <w:sz w:val="16"/>
        <w:szCs w:val="16"/>
      </w:rPr>
      <w:t>3185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54" w:rsidRDefault="002E6B54">
      <w:r>
        <w:separator/>
      </w:r>
    </w:p>
  </w:footnote>
  <w:footnote w:type="continuationSeparator" w:id="0">
    <w:p w:rsidR="002E6B54" w:rsidRDefault="002E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4A781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08B"/>
    <w:multiLevelType w:val="hybridMultilevel"/>
    <w:tmpl w:val="E29E79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4C16"/>
    <w:multiLevelType w:val="hybridMultilevel"/>
    <w:tmpl w:val="778A7D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0378"/>
    <w:multiLevelType w:val="hybridMultilevel"/>
    <w:tmpl w:val="9F1C6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25F0B"/>
    <w:multiLevelType w:val="hybridMultilevel"/>
    <w:tmpl w:val="D706A4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0AA8"/>
    <w:multiLevelType w:val="hybridMultilevel"/>
    <w:tmpl w:val="21E25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49AB"/>
    <w:multiLevelType w:val="hybridMultilevel"/>
    <w:tmpl w:val="D04EC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355F0"/>
    <w:multiLevelType w:val="hybridMultilevel"/>
    <w:tmpl w:val="4E6AA7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4D4C"/>
    <w:multiLevelType w:val="hybridMultilevel"/>
    <w:tmpl w:val="2870A0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74CFD"/>
    <w:multiLevelType w:val="hybridMultilevel"/>
    <w:tmpl w:val="A24E21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311F"/>
    <w:multiLevelType w:val="hybridMultilevel"/>
    <w:tmpl w:val="3D5C5E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77D6"/>
    <w:multiLevelType w:val="hybridMultilevel"/>
    <w:tmpl w:val="318046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82523"/>
    <w:multiLevelType w:val="hybridMultilevel"/>
    <w:tmpl w:val="6944B60A"/>
    <w:lvl w:ilvl="0" w:tplc="0BB4679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" w:hanging="360"/>
      </w:pPr>
    </w:lvl>
    <w:lvl w:ilvl="2" w:tplc="1C09001B" w:tentative="1">
      <w:start w:val="1"/>
      <w:numFmt w:val="lowerRoman"/>
      <w:lvlText w:val="%3."/>
      <w:lvlJc w:val="right"/>
      <w:pPr>
        <w:ind w:left="2700" w:hanging="180"/>
      </w:pPr>
    </w:lvl>
    <w:lvl w:ilvl="3" w:tplc="1C09000F" w:tentative="1">
      <w:start w:val="1"/>
      <w:numFmt w:val="decimal"/>
      <w:lvlText w:val="%4."/>
      <w:lvlJc w:val="left"/>
      <w:pPr>
        <w:ind w:left="3420" w:hanging="360"/>
      </w:pPr>
    </w:lvl>
    <w:lvl w:ilvl="4" w:tplc="1C090019" w:tentative="1">
      <w:start w:val="1"/>
      <w:numFmt w:val="lowerLetter"/>
      <w:lvlText w:val="%5."/>
      <w:lvlJc w:val="left"/>
      <w:pPr>
        <w:ind w:left="4140" w:hanging="360"/>
      </w:pPr>
    </w:lvl>
    <w:lvl w:ilvl="5" w:tplc="1C09001B" w:tentative="1">
      <w:start w:val="1"/>
      <w:numFmt w:val="lowerRoman"/>
      <w:lvlText w:val="%6."/>
      <w:lvlJc w:val="right"/>
      <w:pPr>
        <w:ind w:left="4860" w:hanging="180"/>
      </w:pPr>
    </w:lvl>
    <w:lvl w:ilvl="6" w:tplc="1C09000F" w:tentative="1">
      <w:start w:val="1"/>
      <w:numFmt w:val="decimal"/>
      <w:lvlText w:val="%7."/>
      <w:lvlJc w:val="left"/>
      <w:pPr>
        <w:ind w:left="5580" w:hanging="360"/>
      </w:pPr>
    </w:lvl>
    <w:lvl w:ilvl="7" w:tplc="1C090019" w:tentative="1">
      <w:start w:val="1"/>
      <w:numFmt w:val="lowerLetter"/>
      <w:lvlText w:val="%8."/>
      <w:lvlJc w:val="left"/>
      <w:pPr>
        <w:ind w:left="6300" w:hanging="360"/>
      </w:pPr>
    </w:lvl>
    <w:lvl w:ilvl="8" w:tplc="1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DAA198C"/>
    <w:multiLevelType w:val="hybridMultilevel"/>
    <w:tmpl w:val="99BC49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B1B47"/>
    <w:multiLevelType w:val="hybridMultilevel"/>
    <w:tmpl w:val="590451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F0C26"/>
    <w:multiLevelType w:val="hybridMultilevel"/>
    <w:tmpl w:val="5F107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C4035"/>
    <w:multiLevelType w:val="hybridMultilevel"/>
    <w:tmpl w:val="DC66E5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F7AF2"/>
    <w:multiLevelType w:val="hybridMultilevel"/>
    <w:tmpl w:val="B24EDB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62224"/>
    <w:multiLevelType w:val="hybridMultilevel"/>
    <w:tmpl w:val="FF02A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857E0"/>
    <w:multiLevelType w:val="hybridMultilevel"/>
    <w:tmpl w:val="0C9C2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110C3"/>
    <w:multiLevelType w:val="hybridMultilevel"/>
    <w:tmpl w:val="9E326A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A4FF7"/>
    <w:multiLevelType w:val="hybridMultilevel"/>
    <w:tmpl w:val="0E9CB98A"/>
    <w:lvl w:ilvl="0" w:tplc="1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21"/>
  </w:num>
  <w:num w:numId="9">
    <w:abstractNumId w:val="19"/>
  </w:num>
  <w:num w:numId="10">
    <w:abstractNumId w:val="15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  <w:num w:numId="21">
    <w:abstractNumId w:val="17"/>
  </w:num>
  <w:num w:numId="22">
    <w:abstractNumId w:val="2"/>
  </w:num>
  <w:num w:numId="23">
    <w:abstractNumId w:val="0"/>
  </w:num>
  <w:num w:numId="24">
    <w:abstractNumId w:val="10"/>
  </w:num>
  <w:num w:numId="25">
    <w:abstractNumId w:val="11"/>
  </w:num>
  <w:num w:numId="26">
    <w:abstractNumId w:val="21"/>
  </w:num>
  <w:num w:numId="27">
    <w:abstractNumId w:val="19"/>
  </w:num>
  <w:num w:numId="28">
    <w:abstractNumId w:val="16"/>
  </w:num>
  <w:num w:numId="29">
    <w:abstractNumId w:val="20"/>
  </w:num>
  <w:num w:numId="30">
    <w:abstractNumId w:val="14"/>
  </w:num>
  <w:num w:numId="31">
    <w:abstractNumId w:val="1"/>
  </w:num>
  <w:num w:numId="32">
    <w:abstractNumId w:val="13"/>
  </w:num>
  <w:num w:numId="33">
    <w:abstractNumId w:val="4"/>
  </w:num>
  <w:num w:numId="34">
    <w:abstractNumId w:val="18"/>
  </w:num>
  <w:num w:numId="35">
    <w:abstractNumId w:val="6"/>
  </w:num>
  <w:num w:numId="36">
    <w:abstractNumId w:val="9"/>
  </w:num>
  <w:num w:numId="37">
    <w:abstractNumId w:val="7"/>
  </w:num>
  <w:num w:numId="38">
    <w:abstractNumId w:val="1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2EA9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37AAB"/>
    <w:rsid w:val="000475B5"/>
    <w:rsid w:val="000520E5"/>
    <w:rsid w:val="00060230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3AC2"/>
    <w:rsid w:val="000C4C94"/>
    <w:rsid w:val="000C5219"/>
    <w:rsid w:val="000C6EF1"/>
    <w:rsid w:val="000D2600"/>
    <w:rsid w:val="000D2A0D"/>
    <w:rsid w:val="000D5969"/>
    <w:rsid w:val="000E41F5"/>
    <w:rsid w:val="000E56F5"/>
    <w:rsid w:val="000F23F9"/>
    <w:rsid w:val="000F4B3B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3EE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5C78"/>
    <w:rsid w:val="00187FF2"/>
    <w:rsid w:val="00194434"/>
    <w:rsid w:val="00196EFD"/>
    <w:rsid w:val="001A0035"/>
    <w:rsid w:val="001A06B1"/>
    <w:rsid w:val="001A3298"/>
    <w:rsid w:val="001B6327"/>
    <w:rsid w:val="001B6885"/>
    <w:rsid w:val="001C1E9A"/>
    <w:rsid w:val="001C5CAE"/>
    <w:rsid w:val="001D03EF"/>
    <w:rsid w:val="001D3462"/>
    <w:rsid w:val="001D5B03"/>
    <w:rsid w:val="001E036C"/>
    <w:rsid w:val="001E0AB1"/>
    <w:rsid w:val="001E0B98"/>
    <w:rsid w:val="001E5016"/>
    <w:rsid w:val="001F6A53"/>
    <w:rsid w:val="00201F06"/>
    <w:rsid w:val="0020507E"/>
    <w:rsid w:val="00211B7A"/>
    <w:rsid w:val="0021410C"/>
    <w:rsid w:val="00214C07"/>
    <w:rsid w:val="002238F0"/>
    <w:rsid w:val="002326D5"/>
    <w:rsid w:val="00240308"/>
    <w:rsid w:val="002428C9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97B42"/>
    <w:rsid w:val="002A053D"/>
    <w:rsid w:val="002A30E2"/>
    <w:rsid w:val="002A7BB5"/>
    <w:rsid w:val="002B2D1B"/>
    <w:rsid w:val="002B3F42"/>
    <w:rsid w:val="002B4596"/>
    <w:rsid w:val="002B5EA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0580"/>
    <w:rsid w:val="002E2DE4"/>
    <w:rsid w:val="002E4031"/>
    <w:rsid w:val="002E45E5"/>
    <w:rsid w:val="002E56BE"/>
    <w:rsid w:val="002E6B54"/>
    <w:rsid w:val="002F0CFE"/>
    <w:rsid w:val="002F15F2"/>
    <w:rsid w:val="002F2084"/>
    <w:rsid w:val="002F68D5"/>
    <w:rsid w:val="0030066C"/>
    <w:rsid w:val="003015E6"/>
    <w:rsid w:val="003016A3"/>
    <w:rsid w:val="00307EE6"/>
    <w:rsid w:val="003175DB"/>
    <w:rsid w:val="00321778"/>
    <w:rsid w:val="00322BDC"/>
    <w:rsid w:val="00323C47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57C54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B76B4"/>
    <w:rsid w:val="003C0224"/>
    <w:rsid w:val="003C2138"/>
    <w:rsid w:val="003C5AB7"/>
    <w:rsid w:val="003C6EAE"/>
    <w:rsid w:val="003C7751"/>
    <w:rsid w:val="003D1219"/>
    <w:rsid w:val="003D651F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32D"/>
    <w:rsid w:val="00410915"/>
    <w:rsid w:val="004132A0"/>
    <w:rsid w:val="004148A5"/>
    <w:rsid w:val="004177F6"/>
    <w:rsid w:val="00423103"/>
    <w:rsid w:val="004305FF"/>
    <w:rsid w:val="00434FB4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4A90"/>
    <w:rsid w:val="00485CC3"/>
    <w:rsid w:val="004944D1"/>
    <w:rsid w:val="004A02D1"/>
    <w:rsid w:val="004A63AB"/>
    <w:rsid w:val="004A7817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E70C7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3601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6F64"/>
    <w:rsid w:val="005B15A3"/>
    <w:rsid w:val="005B32FC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31B"/>
    <w:rsid w:val="005F26CC"/>
    <w:rsid w:val="005F3CBB"/>
    <w:rsid w:val="005F6EC3"/>
    <w:rsid w:val="005F7852"/>
    <w:rsid w:val="005F7CD0"/>
    <w:rsid w:val="00602470"/>
    <w:rsid w:val="00602BB6"/>
    <w:rsid w:val="00603843"/>
    <w:rsid w:val="0060724E"/>
    <w:rsid w:val="00607D1B"/>
    <w:rsid w:val="00611412"/>
    <w:rsid w:val="00615BDB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44D7C"/>
    <w:rsid w:val="006507D5"/>
    <w:rsid w:val="00660EE8"/>
    <w:rsid w:val="00663055"/>
    <w:rsid w:val="00663190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1697"/>
    <w:rsid w:val="006B25FC"/>
    <w:rsid w:val="006B518F"/>
    <w:rsid w:val="006C11DF"/>
    <w:rsid w:val="006C6C31"/>
    <w:rsid w:val="006D0494"/>
    <w:rsid w:val="006D7440"/>
    <w:rsid w:val="006E192A"/>
    <w:rsid w:val="006E6167"/>
    <w:rsid w:val="006F4F50"/>
    <w:rsid w:val="006F60B8"/>
    <w:rsid w:val="006F6EBB"/>
    <w:rsid w:val="006F76F3"/>
    <w:rsid w:val="0070051C"/>
    <w:rsid w:val="00702488"/>
    <w:rsid w:val="00706C42"/>
    <w:rsid w:val="007073C5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42805"/>
    <w:rsid w:val="00752BD6"/>
    <w:rsid w:val="00753434"/>
    <w:rsid w:val="007558EF"/>
    <w:rsid w:val="00761975"/>
    <w:rsid w:val="007653D6"/>
    <w:rsid w:val="00770713"/>
    <w:rsid w:val="00773936"/>
    <w:rsid w:val="00774A4F"/>
    <w:rsid w:val="007761D2"/>
    <w:rsid w:val="007774DA"/>
    <w:rsid w:val="00777F16"/>
    <w:rsid w:val="00782064"/>
    <w:rsid w:val="0078394E"/>
    <w:rsid w:val="0078540A"/>
    <w:rsid w:val="00787DFC"/>
    <w:rsid w:val="00787F2E"/>
    <w:rsid w:val="00796C45"/>
    <w:rsid w:val="00797BA7"/>
    <w:rsid w:val="007A4569"/>
    <w:rsid w:val="007A771A"/>
    <w:rsid w:val="007B10CC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2A6F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17FF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963A4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5255"/>
    <w:rsid w:val="009476D2"/>
    <w:rsid w:val="00950C24"/>
    <w:rsid w:val="00952DAA"/>
    <w:rsid w:val="0095517A"/>
    <w:rsid w:val="00960BC2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3A62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19AD"/>
    <w:rsid w:val="009E370B"/>
    <w:rsid w:val="009E55B3"/>
    <w:rsid w:val="009E5677"/>
    <w:rsid w:val="009E7C82"/>
    <w:rsid w:val="009F276C"/>
    <w:rsid w:val="009F76B4"/>
    <w:rsid w:val="00A00641"/>
    <w:rsid w:val="00A00F9F"/>
    <w:rsid w:val="00A029D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4020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57F5E"/>
    <w:rsid w:val="00B64DBD"/>
    <w:rsid w:val="00B67A15"/>
    <w:rsid w:val="00B7355A"/>
    <w:rsid w:val="00B7476D"/>
    <w:rsid w:val="00B8221F"/>
    <w:rsid w:val="00B829FF"/>
    <w:rsid w:val="00B83118"/>
    <w:rsid w:val="00B851F0"/>
    <w:rsid w:val="00B8630A"/>
    <w:rsid w:val="00B87386"/>
    <w:rsid w:val="00B94D60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0E1E"/>
    <w:rsid w:val="00BD1B32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33D1"/>
    <w:rsid w:val="00C179BF"/>
    <w:rsid w:val="00C205F2"/>
    <w:rsid w:val="00C2124A"/>
    <w:rsid w:val="00C22046"/>
    <w:rsid w:val="00C26F61"/>
    <w:rsid w:val="00C27D1E"/>
    <w:rsid w:val="00C3134A"/>
    <w:rsid w:val="00C325D7"/>
    <w:rsid w:val="00C32FF7"/>
    <w:rsid w:val="00C425FE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65D8"/>
    <w:rsid w:val="00C81C41"/>
    <w:rsid w:val="00C81E59"/>
    <w:rsid w:val="00C82A2C"/>
    <w:rsid w:val="00C82A7C"/>
    <w:rsid w:val="00C83667"/>
    <w:rsid w:val="00C839DC"/>
    <w:rsid w:val="00C83BBD"/>
    <w:rsid w:val="00C86FFA"/>
    <w:rsid w:val="00CA02FD"/>
    <w:rsid w:val="00CA2E3F"/>
    <w:rsid w:val="00CA4849"/>
    <w:rsid w:val="00CC0595"/>
    <w:rsid w:val="00CC596F"/>
    <w:rsid w:val="00CC6079"/>
    <w:rsid w:val="00CD42FF"/>
    <w:rsid w:val="00CE0DE6"/>
    <w:rsid w:val="00CE4088"/>
    <w:rsid w:val="00CF2D28"/>
    <w:rsid w:val="00CF3BA1"/>
    <w:rsid w:val="00CF78B0"/>
    <w:rsid w:val="00D00F1B"/>
    <w:rsid w:val="00D050AE"/>
    <w:rsid w:val="00D0774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06F86"/>
    <w:rsid w:val="00E24799"/>
    <w:rsid w:val="00E25606"/>
    <w:rsid w:val="00E41A32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0A45"/>
    <w:rsid w:val="00E81B07"/>
    <w:rsid w:val="00E82D1A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E7B51"/>
    <w:rsid w:val="00EF4888"/>
    <w:rsid w:val="00EF584B"/>
    <w:rsid w:val="00F016A4"/>
    <w:rsid w:val="00F0437A"/>
    <w:rsid w:val="00F058FF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0B04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3F1A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Default">
    <w:name w:val="Default"/>
    <w:rsid w:val="00D077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BDB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Default">
    <w:name w:val="Default"/>
    <w:rsid w:val="00D077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5BDB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Dladla Joy</cp:lastModifiedBy>
  <cp:revision>7</cp:revision>
  <cp:lastPrinted>2016-12-13T06:56:00Z</cp:lastPrinted>
  <dcterms:created xsi:type="dcterms:W3CDTF">2016-12-14T12:51:00Z</dcterms:created>
  <dcterms:modified xsi:type="dcterms:W3CDTF">2016-12-21T07:45:00Z</dcterms:modified>
</cp:coreProperties>
</file>