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CC" w:rsidRPr="00841EE2" w:rsidRDefault="001258CC" w:rsidP="001258CC">
      <w:pPr>
        <w:spacing w:line="360" w:lineRule="auto"/>
        <w:jc w:val="center"/>
        <w:rPr>
          <w:rFonts w:cs="Arial"/>
          <w:b/>
          <w:sz w:val="32"/>
          <w:szCs w:val="32"/>
        </w:rPr>
      </w:pPr>
      <w:r w:rsidRPr="00841EE2">
        <w:rPr>
          <w:rFonts w:cs="Arial"/>
          <w:b/>
          <w:sz w:val="32"/>
          <w:szCs w:val="32"/>
        </w:rPr>
        <w:t>NATIONAL ASSEMBLY</w:t>
      </w:r>
    </w:p>
    <w:p w:rsidR="001258CC" w:rsidRPr="00841EE2" w:rsidRDefault="001258CC" w:rsidP="001258CC">
      <w:pPr>
        <w:pStyle w:val="DACBODYTEXT"/>
        <w:spacing w:after="0" w:line="240" w:lineRule="auto"/>
        <w:ind w:left="0"/>
        <w:rPr>
          <w:rFonts w:cs="Arial"/>
          <w:b/>
          <w:sz w:val="32"/>
          <w:szCs w:val="32"/>
          <w:u w:val="single"/>
        </w:rPr>
      </w:pPr>
      <w:r w:rsidRPr="00841EE2">
        <w:rPr>
          <w:rFonts w:cs="Arial"/>
          <w:b/>
          <w:sz w:val="32"/>
          <w:szCs w:val="32"/>
          <w:u w:val="single"/>
        </w:rPr>
        <w:t>QUESTION No. 2674-2021</w:t>
      </w:r>
    </w:p>
    <w:p w:rsidR="001258CC" w:rsidRPr="00B67278" w:rsidRDefault="001258CC" w:rsidP="001258CC">
      <w:pPr>
        <w:tabs>
          <w:tab w:val="left" w:pos="576"/>
          <w:tab w:val="left" w:pos="1296"/>
          <w:tab w:val="left" w:pos="6336"/>
        </w:tabs>
        <w:spacing w:after="0" w:line="240" w:lineRule="auto"/>
        <w:ind w:left="70"/>
        <w:jc w:val="both"/>
        <w:rPr>
          <w:rFonts w:cs="Arial"/>
          <w:b/>
          <w:sz w:val="32"/>
          <w:szCs w:val="32"/>
        </w:rPr>
      </w:pPr>
      <w:r w:rsidRPr="00841EE2">
        <w:rPr>
          <w:rFonts w:cs="Arial"/>
          <w:b/>
          <w:sz w:val="32"/>
          <w:szCs w:val="32"/>
          <w:u w:val="single"/>
        </w:rPr>
        <w:t>FOR WRITTEN REPLY</w:t>
      </w:r>
    </w:p>
    <w:p w:rsidR="001258CC" w:rsidRPr="00841EE2" w:rsidRDefault="001258CC" w:rsidP="001258CC">
      <w:pPr>
        <w:pStyle w:val="DACBODYTEXT"/>
        <w:spacing w:after="0" w:line="240" w:lineRule="auto"/>
        <w:ind w:left="0"/>
        <w:rPr>
          <w:rFonts w:cs="Arial"/>
          <w:b/>
          <w:sz w:val="32"/>
          <w:szCs w:val="32"/>
        </w:rPr>
      </w:pPr>
      <w:r w:rsidRPr="00841EE2">
        <w:rPr>
          <w:rFonts w:cs="Arial"/>
          <w:b/>
          <w:sz w:val="32"/>
          <w:szCs w:val="32"/>
        </w:rPr>
        <w:t>INTERNAL QUESTION PAPER NO. 31-2021 dated 03 December 2021:</w:t>
      </w:r>
    </w:p>
    <w:p w:rsidR="001258CC" w:rsidRPr="00841EE2" w:rsidRDefault="001258CC" w:rsidP="001258CC">
      <w:pPr>
        <w:spacing w:before="100" w:beforeAutospacing="1" w:after="0" w:line="240" w:lineRule="auto"/>
        <w:ind w:left="709" w:hanging="709"/>
        <w:jc w:val="both"/>
        <w:outlineLvl w:val="0"/>
        <w:rPr>
          <w:rFonts w:cs="Arial"/>
          <w:b/>
          <w:sz w:val="32"/>
          <w:szCs w:val="32"/>
        </w:rPr>
      </w:pPr>
      <w:r w:rsidRPr="00841EE2">
        <w:rPr>
          <w:rFonts w:cs="Arial"/>
          <w:b/>
          <w:sz w:val="32"/>
          <w:szCs w:val="32"/>
        </w:rPr>
        <w:t>“Mrs V van Dyk (DA) to ask the Minister of Sport, Arts and Culture</w:t>
      </w:r>
      <w:r w:rsidR="00010DC6"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010DC6" w:rsidRPr="00841EE2">
        <w:rPr>
          <w:rFonts w:cs="Arial"/>
          <w:b/>
          <w:sz w:val="32"/>
          <w:szCs w:val="32"/>
        </w:rPr>
        <w:fldChar w:fldCharType="end"/>
      </w:r>
      <w:r w:rsidRPr="00841EE2">
        <w:rPr>
          <w:rFonts w:cs="Arial"/>
          <w:b/>
          <w:sz w:val="32"/>
          <w:szCs w:val="32"/>
        </w:rPr>
        <w:t>:</w:t>
      </w:r>
    </w:p>
    <w:p w:rsidR="001258CC" w:rsidRPr="005248F5" w:rsidRDefault="001258CC" w:rsidP="001258CC">
      <w:pPr>
        <w:spacing w:before="100" w:beforeAutospacing="1" w:after="100" w:afterAutospacing="1" w:line="240" w:lineRule="auto"/>
        <w:jc w:val="both"/>
        <w:outlineLvl w:val="0"/>
        <w:rPr>
          <w:rFonts w:cs="Arial"/>
          <w:sz w:val="32"/>
          <w:szCs w:val="32"/>
        </w:rPr>
      </w:pPr>
      <w:r w:rsidRPr="00841EE2">
        <w:rPr>
          <w:rFonts w:cs="Arial"/>
          <w:sz w:val="32"/>
          <w:szCs w:val="32"/>
          <w:lang w:val="en-US"/>
        </w:rPr>
        <w:t>What (a) is the total cost for investigating irregular activities involving the (</w:t>
      </w:r>
      <w:proofErr w:type="spellStart"/>
      <w:r w:rsidRPr="00841EE2">
        <w:rPr>
          <w:rFonts w:cs="Arial"/>
          <w:sz w:val="32"/>
          <w:szCs w:val="32"/>
          <w:lang w:val="en-US"/>
        </w:rPr>
        <w:t>i</w:t>
      </w:r>
      <w:proofErr w:type="spellEnd"/>
      <w:r w:rsidRPr="00841EE2">
        <w:rPr>
          <w:rFonts w:cs="Arial"/>
          <w:sz w:val="32"/>
          <w:szCs w:val="32"/>
          <w:lang w:val="en-US"/>
        </w:rPr>
        <w:t>) former Chairperson of Council and (ii) former Chief Executive Officer of the SA Heritage Resources Agency, (b) are the names of the persons who (</w:t>
      </w:r>
      <w:proofErr w:type="spellStart"/>
      <w:r w:rsidRPr="00841EE2">
        <w:rPr>
          <w:rFonts w:cs="Arial"/>
          <w:sz w:val="32"/>
          <w:szCs w:val="32"/>
          <w:lang w:val="en-US"/>
        </w:rPr>
        <w:t>i</w:t>
      </w:r>
      <w:proofErr w:type="spellEnd"/>
      <w:r w:rsidRPr="00841EE2">
        <w:rPr>
          <w:rFonts w:cs="Arial"/>
          <w:sz w:val="32"/>
          <w:szCs w:val="32"/>
          <w:lang w:val="en-US"/>
        </w:rPr>
        <w:t>) were appointed to do the investigation and (ii) appointed the investigators, (c) date was the investigative service advertised, (d) was the outcome of the investigation and (e) steps have been taken by his department in this regard?</w:t>
      </w:r>
      <w:r w:rsidRPr="00841EE2">
        <w:rPr>
          <w:rFonts w:cs="Arial"/>
          <w:sz w:val="32"/>
          <w:szCs w:val="32"/>
        </w:rPr>
        <w:tab/>
      </w:r>
      <w:r w:rsidRPr="00841EE2">
        <w:rPr>
          <w:rFonts w:cs="Arial"/>
          <w:sz w:val="32"/>
          <w:szCs w:val="32"/>
        </w:rPr>
        <w:tab/>
      </w:r>
      <w:r w:rsidRPr="00841EE2">
        <w:rPr>
          <w:rFonts w:cs="Arial"/>
          <w:sz w:val="32"/>
          <w:szCs w:val="32"/>
        </w:rPr>
        <w:tab/>
      </w:r>
      <w:r w:rsidRPr="00841EE2">
        <w:rPr>
          <w:rFonts w:cs="Arial"/>
          <w:sz w:val="32"/>
          <w:szCs w:val="32"/>
        </w:rPr>
        <w:tab/>
      </w:r>
      <w:r w:rsidRPr="00841EE2">
        <w:rPr>
          <w:rFonts w:cs="Arial"/>
          <w:sz w:val="32"/>
          <w:szCs w:val="32"/>
        </w:rPr>
        <w:tab/>
      </w:r>
      <w:r w:rsidRPr="00841EE2">
        <w:rPr>
          <w:rFonts w:cs="Arial"/>
          <w:sz w:val="32"/>
          <w:szCs w:val="32"/>
        </w:rPr>
        <w:tab/>
      </w:r>
      <w:r w:rsidRPr="00841EE2">
        <w:rPr>
          <w:rFonts w:cs="Arial"/>
          <w:sz w:val="32"/>
          <w:szCs w:val="32"/>
        </w:rPr>
        <w:tab/>
      </w:r>
      <w:r w:rsidRPr="00841EE2">
        <w:rPr>
          <w:rFonts w:eastAsia="Times New Roman" w:cs="Arial"/>
          <w:b/>
          <w:color w:val="000000" w:themeColor="text1"/>
          <w:sz w:val="32"/>
          <w:szCs w:val="32"/>
          <w:lang w:eastAsia="en-GB"/>
        </w:rPr>
        <w:t>NW3035E</w:t>
      </w:r>
    </w:p>
    <w:p w:rsidR="001258CC" w:rsidRPr="00841EE2" w:rsidRDefault="001258CC" w:rsidP="001258CC">
      <w:pPr>
        <w:spacing w:before="100" w:beforeAutospacing="1" w:after="100" w:afterAutospacing="1" w:line="240" w:lineRule="auto"/>
        <w:ind w:left="709" w:hanging="709"/>
        <w:jc w:val="both"/>
        <w:outlineLvl w:val="0"/>
        <w:rPr>
          <w:rFonts w:cs="Arial"/>
          <w:b/>
          <w:sz w:val="32"/>
          <w:szCs w:val="32"/>
        </w:rPr>
      </w:pPr>
      <w:r w:rsidRPr="00841EE2">
        <w:rPr>
          <w:rFonts w:cs="Arial"/>
          <w:b/>
          <w:sz w:val="32"/>
          <w:szCs w:val="32"/>
        </w:rPr>
        <w:t>REPLY</w:t>
      </w:r>
    </w:p>
    <w:p w:rsidR="001258CC" w:rsidRPr="00841EE2" w:rsidRDefault="001258CC" w:rsidP="001258CC">
      <w:pPr>
        <w:pStyle w:val="DACBODYTEXT"/>
        <w:numPr>
          <w:ilvl w:val="0"/>
          <w:numId w:val="1"/>
        </w:numPr>
        <w:spacing w:line="240" w:lineRule="auto"/>
        <w:jc w:val="both"/>
        <w:rPr>
          <w:rFonts w:cs="Arial"/>
          <w:sz w:val="32"/>
          <w:szCs w:val="32"/>
        </w:rPr>
      </w:pPr>
      <w:r w:rsidRPr="00841EE2">
        <w:rPr>
          <w:rFonts w:cs="Arial"/>
          <w:sz w:val="32"/>
          <w:szCs w:val="32"/>
        </w:rPr>
        <w:t xml:space="preserve">The National Treasury covered cost of the investigation. </w:t>
      </w:r>
    </w:p>
    <w:p w:rsidR="001258CC" w:rsidRPr="00841EE2" w:rsidRDefault="001258CC" w:rsidP="001258CC">
      <w:pPr>
        <w:pStyle w:val="DACBODYTEXT"/>
        <w:numPr>
          <w:ilvl w:val="0"/>
          <w:numId w:val="1"/>
        </w:numPr>
        <w:spacing w:line="240" w:lineRule="auto"/>
        <w:jc w:val="both"/>
        <w:rPr>
          <w:rFonts w:cs="Arial"/>
          <w:sz w:val="32"/>
          <w:szCs w:val="32"/>
        </w:rPr>
      </w:pPr>
      <w:r w:rsidRPr="00841EE2">
        <w:rPr>
          <w:rFonts w:cs="Arial"/>
          <w:sz w:val="32"/>
          <w:szCs w:val="32"/>
        </w:rPr>
        <w:t>(</w:t>
      </w:r>
      <w:proofErr w:type="spellStart"/>
      <w:r w:rsidRPr="00841EE2">
        <w:rPr>
          <w:rFonts w:cs="Arial"/>
          <w:sz w:val="32"/>
          <w:szCs w:val="32"/>
        </w:rPr>
        <w:t>i</w:t>
      </w:r>
      <w:proofErr w:type="spellEnd"/>
      <w:r w:rsidRPr="00841EE2">
        <w:rPr>
          <w:rFonts w:cs="Arial"/>
          <w:sz w:val="32"/>
          <w:szCs w:val="32"/>
        </w:rPr>
        <w:t xml:space="preserve">) Price Waterhouse Coopers conducted the investigation; </w:t>
      </w:r>
    </w:p>
    <w:p w:rsidR="001258CC" w:rsidRPr="00841EE2" w:rsidRDefault="001258CC" w:rsidP="001258CC">
      <w:pPr>
        <w:pStyle w:val="DACBODYTEXT"/>
        <w:spacing w:line="240" w:lineRule="auto"/>
        <w:ind w:left="1353"/>
        <w:jc w:val="both"/>
        <w:rPr>
          <w:rFonts w:cs="Arial"/>
          <w:sz w:val="32"/>
          <w:szCs w:val="32"/>
        </w:rPr>
      </w:pPr>
      <w:r w:rsidRPr="00841EE2">
        <w:rPr>
          <w:rFonts w:cs="Arial"/>
          <w:sz w:val="32"/>
          <w:szCs w:val="32"/>
        </w:rPr>
        <w:t>(ii)   The National Treasury appointed the investigators.</w:t>
      </w:r>
    </w:p>
    <w:p w:rsidR="001258CC" w:rsidRPr="00841EE2" w:rsidRDefault="001258CC" w:rsidP="001258CC">
      <w:pPr>
        <w:pStyle w:val="DACBODYTEXT"/>
        <w:numPr>
          <w:ilvl w:val="0"/>
          <w:numId w:val="1"/>
        </w:numPr>
        <w:spacing w:line="240" w:lineRule="auto"/>
        <w:jc w:val="both"/>
        <w:rPr>
          <w:rFonts w:cs="Arial"/>
          <w:sz w:val="32"/>
          <w:szCs w:val="32"/>
        </w:rPr>
      </w:pPr>
      <w:r w:rsidRPr="00841EE2">
        <w:rPr>
          <w:rFonts w:cs="Arial"/>
          <w:sz w:val="32"/>
          <w:szCs w:val="32"/>
        </w:rPr>
        <w:t xml:space="preserve">The National Treasury did the procurement process. </w:t>
      </w:r>
    </w:p>
    <w:p w:rsidR="001258CC" w:rsidRPr="00841EE2" w:rsidRDefault="001258CC" w:rsidP="001258CC">
      <w:pPr>
        <w:pStyle w:val="DACBODYTEXT"/>
        <w:numPr>
          <w:ilvl w:val="0"/>
          <w:numId w:val="1"/>
        </w:numPr>
        <w:spacing w:line="240" w:lineRule="auto"/>
        <w:jc w:val="both"/>
        <w:rPr>
          <w:rFonts w:cs="Arial"/>
          <w:sz w:val="32"/>
          <w:szCs w:val="32"/>
        </w:rPr>
      </w:pPr>
      <w:r w:rsidRPr="00841EE2">
        <w:rPr>
          <w:rFonts w:cs="Arial"/>
          <w:sz w:val="32"/>
          <w:szCs w:val="32"/>
        </w:rPr>
        <w:t>The recommendations of the forensic investigation were as follows:</w:t>
      </w:r>
    </w:p>
    <w:p w:rsidR="001258CC" w:rsidRPr="00841EE2" w:rsidRDefault="001258CC" w:rsidP="001258CC">
      <w:pPr>
        <w:pStyle w:val="DACBODYTEXT"/>
        <w:numPr>
          <w:ilvl w:val="1"/>
          <w:numId w:val="1"/>
        </w:numPr>
        <w:spacing w:line="240" w:lineRule="auto"/>
        <w:jc w:val="both"/>
        <w:rPr>
          <w:rFonts w:cs="Arial"/>
          <w:sz w:val="32"/>
          <w:szCs w:val="32"/>
        </w:rPr>
      </w:pPr>
      <w:r w:rsidRPr="00841EE2">
        <w:rPr>
          <w:rFonts w:cs="Arial"/>
          <w:sz w:val="32"/>
          <w:szCs w:val="32"/>
        </w:rPr>
        <w:t xml:space="preserve">Disciplinary action should be taken against Ms </w:t>
      </w:r>
      <w:proofErr w:type="spellStart"/>
      <w:r w:rsidRPr="00841EE2">
        <w:rPr>
          <w:rFonts w:cs="Arial"/>
          <w:sz w:val="32"/>
          <w:szCs w:val="32"/>
        </w:rPr>
        <w:t>Baduza</w:t>
      </w:r>
      <w:proofErr w:type="spellEnd"/>
      <w:r w:rsidRPr="00841EE2">
        <w:rPr>
          <w:rFonts w:cs="Arial"/>
          <w:sz w:val="32"/>
          <w:szCs w:val="32"/>
        </w:rPr>
        <w:t xml:space="preserve"> for contravening the legislative prescripts and practice notes of SAHRA’s Supply Chain Management Policy.</w:t>
      </w:r>
    </w:p>
    <w:p w:rsidR="001258CC" w:rsidRPr="00841EE2" w:rsidRDefault="001258CC" w:rsidP="001258CC">
      <w:pPr>
        <w:pStyle w:val="DACBODYTEXT"/>
        <w:numPr>
          <w:ilvl w:val="1"/>
          <w:numId w:val="1"/>
        </w:numPr>
        <w:spacing w:line="240" w:lineRule="auto"/>
        <w:jc w:val="both"/>
        <w:rPr>
          <w:rFonts w:cs="Arial"/>
          <w:sz w:val="32"/>
          <w:szCs w:val="32"/>
        </w:rPr>
      </w:pPr>
      <w:r w:rsidRPr="00841EE2">
        <w:rPr>
          <w:rFonts w:cs="Arial"/>
          <w:sz w:val="32"/>
          <w:szCs w:val="32"/>
        </w:rPr>
        <w:lastRenderedPageBreak/>
        <w:t xml:space="preserve">SAHRA should assess the extent to which Ms </w:t>
      </w:r>
      <w:proofErr w:type="spellStart"/>
      <w:r w:rsidRPr="00841EE2">
        <w:rPr>
          <w:rFonts w:cs="Arial"/>
          <w:sz w:val="32"/>
          <w:szCs w:val="32"/>
        </w:rPr>
        <w:t>Motsisi</w:t>
      </w:r>
      <w:proofErr w:type="spellEnd"/>
      <w:r w:rsidRPr="00841EE2">
        <w:rPr>
          <w:rFonts w:cs="Arial"/>
          <w:sz w:val="32"/>
          <w:szCs w:val="32"/>
        </w:rPr>
        <w:t xml:space="preserve">, Ms </w:t>
      </w:r>
      <w:proofErr w:type="spellStart"/>
      <w:r w:rsidRPr="00841EE2">
        <w:rPr>
          <w:rFonts w:cs="Arial"/>
          <w:sz w:val="32"/>
          <w:szCs w:val="32"/>
        </w:rPr>
        <w:t>Baduza</w:t>
      </w:r>
      <w:proofErr w:type="spellEnd"/>
      <w:r w:rsidRPr="00841EE2">
        <w:rPr>
          <w:rFonts w:cs="Arial"/>
          <w:sz w:val="32"/>
          <w:szCs w:val="32"/>
        </w:rPr>
        <w:t xml:space="preserve"> and </w:t>
      </w:r>
      <w:proofErr w:type="spellStart"/>
      <w:r w:rsidRPr="00841EE2">
        <w:rPr>
          <w:rFonts w:cs="Arial"/>
          <w:sz w:val="32"/>
          <w:szCs w:val="32"/>
        </w:rPr>
        <w:t>Anix</w:t>
      </w:r>
      <w:proofErr w:type="spellEnd"/>
      <w:r w:rsidRPr="00841EE2">
        <w:rPr>
          <w:rFonts w:cs="Arial"/>
          <w:sz w:val="32"/>
          <w:szCs w:val="32"/>
        </w:rPr>
        <w:t xml:space="preserve"> Consulting can be held liable for the losses incurred on the project.</w:t>
      </w:r>
    </w:p>
    <w:p w:rsidR="001258CC" w:rsidRPr="00841EE2" w:rsidRDefault="001258CC" w:rsidP="001258CC">
      <w:pPr>
        <w:pStyle w:val="DACBODYTEXT"/>
        <w:numPr>
          <w:ilvl w:val="1"/>
          <w:numId w:val="1"/>
        </w:numPr>
        <w:spacing w:line="240" w:lineRule="auto"/>
        <w:jc w:val="both"/>
        <w:rPr>
          <w:rFonts w:cs="Arial"/>
          <w:sz w:val="32"/>
          <w:szCs w:val="32"/>
        </w:rPr>
      </w:pPr>
      <w:r w:rsidRPr="00841EE2">
        <w:rPr>
          <w:rFonts w:cs="Arial"/>
          <w:sz w:val="32"/>
          <w:szCs w:val="32"/>
        </w:rPr>
        <w:t xml:space="preserve">SAHRA should recover the VAT overcharged by </w:t>
      </w:r>
      <w:proofErr w:type="spellStart"/>
      <w:r w:rsidRPr="00841EE2">
        <w:rPr>
          <w:rFonts w:cs="Arial"/>
          <w:sz w:val="32"/>
          <w:szCs w:val="32"/>
        </w:rPr>
        <w:t>Anix</w:t>
      </w:r>
      <w:proofErr w:type="spellEnd"/>
      <w:r w:rsidRPr="00841EE2">
        <w:rPr>
          <w:rFonts w:cs="Arial"/>
          <w:sz w:val="32"/>
          <w:szCs w:val="32"/>
        </w:rPr>
        <w:t xml:space="preserve"> Consulting and determine whether disciplinary action should be taken against the officials involved in the payment process.</w:t>
      </w:r>
    </w:p>
    <w:p w:rsidR="001258CC" w:rsidRPr="00841EE2" w:rsidRDefault="001258CC" w:rsidP="001258CC">
      <w:pPr>
        <w:pStyle w:val="DACBODYTEXT"/>
        <w:numPr>
          <w:ilvl w:val="1"/>
          <w:numId w:val="1"/>
        </w:numPr>
        <w:spacing w:line="240" w:lineRule="auto"/>
        <w:jc w:val="both"/>
        <w:rPr>
          <w:rFonts w:cs="Arial"/>
          <w:sz w:val="32"/>
          <w:szCs w:val="32"/>
        </w:rPr>
      </w:pPr>
      <w:r w:rsidRPr="00841EE2">
        <w:rPr>
          <w:rFonts w:cs="Arial"/>
          <w:sz w:val="32"/>
          <w:szCs w:val="32"/>
        </w:rPr>
        <w:t xml:space="preserve">Engage with the Law enforcement agencies for them to determine whether any SAHRA official illegally benefited from the irregular appointment of </w:t>
      </w:r>
      <w:proofErr w:type="spellStart"/>
      <w:r w:rsidRPr="00841EE2">
        <w:rPr>
          <w:rFonts w:cs="Arial"/>
          <w:sz w:val="32"/>
          <w:szCs w:val="32"/>
        </w:rPr>
        <w:t>Anix</w:t>
      </w:r>
      <w:proofErr w:type="spellEnd"/>
      <w:r w:rsidRPr="00841EE2">
        <w:rPr>
          <w:rFonts w:cs="Arial"/>
          <w:sz w:val="32"/>
          <w:szCs w:val="32"/>
        </w:rPr>
        <w:t xml:space="preserve"> Consulting and extension of scope.</w:t>
      </w:r>
    </w:p>
    <w:p w:rsidR="001258CC" w:rsidRPr="00841EE2" w:rsidRDefault="001258CC" w:rsidP="001258CC">
      <w:pPr>
        <w:pStyle w:val="DACBODYTEXT"/>
        <w:numPr>
          <w:ilvl w:val="1"/>
          <w:numId w:val="1"/>
        </w:numPr>
        <w:spacing w:line="240" w:lineRule="auto"/>
        <w:jc w:val="both"/>
        <w:rPr>
          <w:rFonts w:cs="Arial"/>
          <w:sz w:val="32"/>
          <w:szCs w:val="32"/>
        </w:rPr>
      </w:pPr>
      <w:r w:rsidRPr="00841EE2">
        <w:rPr>
          <w:rFonts w:cs="Arial"/>
          <w:sz w:val="32"/>
          <w:szCs w:val="32"/>
        </w:rPr>
        <w:t xml:space="preserve">Institute a further investigation into payments made to service providers (Trans Pacific, Creative Axis, and </w:t>
      </w:r>
      <w:proofErr w:type="spellStart"/>
      <w:r w:rsidRPr="00841EE2">
        <w:rPr>
          <w:rFonts w:cs="Arial"/>
          <w:sz w:val="32"/>
          <w:szCs w:val="32"/>
        </w:rPr>
        <w:t>Anix</w:t>
      </w:r>
      <w:proofErr w:type="spellEnd"/>
      <w:r w:rsidRPr="00841EE2">
        <w:rPr>
          <w:rFonts w:cs="Arial"/>
          <w:sz w:val="32"/>
          <w:szCs w:val="32"/>
        </w:rPr>
        <w:t xml:space="preserve"> Consulting) through the law enforcement agency to quantify the loss suffered by SAHRA and initiate a recovery process.</w:t>
      </w:r>
    </w:p>
    <w:p w:rsidR="001258CC" w:rsidRPr="00841EE2" w:rsidRDefault="001258CC" w:rsidP="001258CC">
      <w:pPr>
        <w:pStyle w:val="DACBODYTEXT"/>
        <w:numPr>
          <w:ilvl w:val="1"/>
          <w:numId w:val="1"/>
        </w:numPr>
        <w:spacing w:line="240" w:lineRule="auto"/>
        <w:jc w:val="both"/>
        <w:rPr>
          <w:rFonts w:cs="Arial"/>
          <w:sz w:val="32"/>
          <w:szCs w:val="32"/>
        </w:rPr>
      </w:pPr>
      <w:r w:rsidRPr="00841EE2">
        <w:rPr>
          <w:rFonts w:cs="Arial"/>
          <w:sz w:val="32"/>
          <w:szCs w:val="32"/>
        </w:rPr>
        <w:t xml:space="preserve">Consult with legal advisors to determine what amounts can be claimed from </w:t>
      </w:r>
      <w:proofErr w:type="spellStart"/>
      <w:r w:rsidRPr="00841EE2">
        <w:rPr>
          <w:rFonts w:cs="Arial"/>
          <w:sz w:val="32"/>
          <w:szCs w:val="32"/>
        </w:rPr>
        <w:t>Anix</w:t>
      </w:r>
      <w:proofErr w:type="spellEnd"/>
      <w:r w:rsidRPr="00841EE2">
        <w:rPr>
          <w:rFonts w:cs="Arial"/>
          <w:sz w:val="32"/>
          <w:szCs w:val="32"/>
        </w:rPr>
        <w:t xml:space="preserve"> Consulting and to commence with this process.  </w:t>
      </w:r>
    </w:p>
    <w:p w:rsidR="001258CC" w:rsidRPr="00841EE2" w:rsidRDefault="001258CC" w:rsidP="001258CC">
      <w:pPr>
        <w:pStyle w:val="DACBODYTEXT"/>
        <w:numPr>
          <w:ilvl w:val="0"/>
          <w:numId w:val="1"/>
        </w:numPr>
        <w:spacing w:line="240" w:lineRule="auto"/>
        <w:jc w:val="both"/>
        <w:rPr>
          <w:rFonts w:cs="Arial"/>
          <w:sz w:val="32"/>
          <w:szCs w:val="32"/>
        </w:rPr>
      </w:pPr>
      <w:r w:rsidRPr="00841EE2">
        <w:rPr>
          <w:rFonts w:cs="Arial"/>
          <w:sz w:val="32"/>
          <w:szCs w:val="32"/>
        </w:rPr>
        <w:t>.The Department played its oversight r</w:t>
      </w:r>
      <w:r>
        <w:rPr>
          <w:rFonts w:cs="Arial"/>
          <w:sz w:val="32"/>
          <w:szCs w:val="32"/>
        </w:rPr>
        <w:t xml:space="preserve">ole to ensure that Council of </w:t>
      </w:r>
      <w:r>
        <w:rPr>
          <w:rFonts w:cs="Arial"/>
          <w:sz w:val="32"/>
          <w:szCs w:val="32"/>
        </w:rPr>
        <w:tab/>
      </w:r>
      <w:r w:rsidRPr="00841EE2">
        <w:rPr>
          <w:rFonts w:cs="Arial"/>
          <w:sz w:val="32"/>
          <w:szCs w:val="32"/>
        </w:rPr>
        <w:t>SAHRA implements the recommendation</w:t>
      </w:r>
      <w:r>
        <w:rPr>
          <w:rFonts w:cs="Arial"/>
          <w:sz w:val="32"/>
          <w:szCs w:val="32"/>
        </w:rPr>
        <w:t xml:space="preserve">s of the forensic report. This </w:t>
      </w:r>
      <w:r w:rsidRPr="00841EE2">
        <w:rPr>
          <w:rFonts w:cs="Arial"/>
          <w:sz w:val="32"/>
          <w:szCs w:val="32"/>
        </w:rPr>
        <w:t>has led to the dismissal of the former CEO, after</w:t>
      </w:r>
      <w:r>
        <w:rPr>
          <w:rFonts w:cs="Arial"/>
          <w:sz w:val="32"/>
          <w:szCs w:val="32"/>
        </w:rPr>
        <w:t xml:space="preserve"> undergoing a </w:t>
      </w:r>
      <w:r w:rsidRPr="00841EE2">
        <w:rPr>
          <w:rFonts w:cs="Arial"/>
          <w:sz w:val="32"/>
          <w:szCs w:val="32"/>
        </w:rPr>
        <w:t>disciplinary process. In addition,</w:t>
      </w:r>
      <w:r>
        <w:rPr>
          <w:rFonts w:cs="Arial"/>
          <w:sz w:val="32"/>
          <w:szCs w:val="32"/>
        </w:rPr>
        <w:t xml:space="preserve"> the matter is currently being </w:t>
      </w:r>
      <w:r w:rsidRPr="00841EE2">
        <w:rPr>
          <w:rFonts w:cs="Arial"/>
          <w:sz w:val="32"/>
          <w:szCs w:val="32"/>
        </w:rPr>
        <w:t>investigated by the Law e</w:t>
      </w:r>
      <w:r>
        <w:rPr>
          <w:rFonts w:cs="Arial"/>
          <w:sz w:val="32"/>
          <w:szCs w:val="32"/>
        </w:rPr>
        <w:t xml:space="preserve">nforcement agencies as per the </w:t>
      </w:r>
      <w:r w:rsidRPr="00841EE2">
        <w:rPr>
          <w:rFonts w:cs="Arial"/>
          <w:sz w:val="32"/>
          <w:szCs w:val="32"/>
        </w:rPr>
        <w:t xml:space="preserve">recommendations of the report. The Special Investigation Unit is </w:t>
      </w:r>
      <w:r w:rsidRPr="00841EE2">
        <w:rPr>
          <w:rFonts w:cs="Arial"/>
          <w:sz w:val="32"/>
          <w:szCs w:val="32"/>
        </w:rPr>
        <w:tab/>
        <w:t xml:space="preserve">currently conducting further investigation on the matter under </w:t>
      </w:r>
      <w:r w:rsidRPr="00841EE2">
        <w:rPr>
          <w:rFonts w:cs="Arial"/>
          <w:sz w:val="32"/>
          <w:szCs w:val="32"/>
        </w:rPr>
        <w:tab/>
        <w:t>Proclamation 38 of 2019 issued on 12 July 2019.</w:t>
      </w:r>
    </w:p>
    <w:p w:rsidR="001258CC" w:rsidRPr="00841EE2" w:rsidRDefault="001258CC" w:rsidP="001258CC">
      <w:pPr>
        <w:tabs>
          <w:tab w:val="left" w:pos="576"/>
          <w:tab w:val="left" w:pos="1296"/>
          <w:tab w:val="left" w:pos="6336"/>
        </w:tabs>
        <w:spacing w:after="0" w:line="360" w:lineRule="auto"/>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r w:rsidRPr="00841EE2">
        <w:rPr>
          <w:rFonts w:cs="Arial"/>
          <w:b/>
          <w:sz w:val="32"/>
          <w:szCs w:val="32"/>
        </w:rPr>
        <w:t xml:space="preserve">                             </w:t>
      </w: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1258CC" w:rsidRDefault="001258CC" w:rsidP="001258CC">
      <w:pPr>
        <w:tabs>
          <w:tab w:val="left" w:pos="576"/>
          <w:tab w:val="left" w:pos="1296"/>
          <w:tab w:val="left" w:pos="6336"/>
        </w:tabs>
        <w:spacing w:after="0" w:line="360" w:lineRule="auto"/>
        <w:ind w:left="70"/>
        <w:jc w:val="both"/>
        <w:rPr>
          <w:rFonts w:cs="Arial"/>
          <w:b/>
          <w:sz w:val="32"/>
          <w:szCs w:val="32"/>
        </w:rPr>
      </w:pPr>
    </w:p>
    <w:p w:rsidR="006A33F5" w:rsidRDefault="0069507E">
      <w:bookmarkStart w:id="0" w:name="_GoBack"/>
      <w:bookmarkEnd w:id="0"/>
    </w:p>
    <w:sectPr w:rsidR="006A33F5" w:rsidSect="00010D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10AC"/>
    <w:multiLevelType w:val="hybridMultilevel"/>
    <w:tmpl w:val="7C4C114A"/>
    <w:lvl w:ilvl="0" w:tplc="94B0CA84">
      <w:start w:val="1"/>
      <w:numFmt w:val="lowerLetter"/>
      <w:lvlText w:val="(%1)"/>
      <w:lvlJc w:val="left"/>
      <w:pPr>
        <w:ind w:left="1353" w:hanging="360"/>
      </w:pPr>
      <w:rPr>
        <w:rFonts w:hint="default"/>
        <w:sz w:val="24"/>
        <w:szCs w:val="24"/>
      </w:rPr>
    </w:lvl>
    <w:lvl w:ilvl="1" w:tplc="04090001">
      <w:start w:val="1"/>
      <w:numFmt w:val="bullet"/>
      <w:lvlText w:val=""/>
      <w:lvlJc w:val="left"/>
      <w:pPr>
        <w:ind w:left="2073" w:hanging="360"/>
      </w:pPr>
      <w:rPr>
        <w:rFonts w:ascii="Symbol" w:hAnsi="Symbol"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8CC"/>
    <w:rsid w:val="00010DC6"/>
    <w:rsid w:val="001258CC"/>
    <w:rsid w:val="0069507E"/>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CC"/>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258CC"/>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2021-12-13T14:27:00Z</dcterms:created>
  <dcterms:modified xsi:type="dcterms:W3CDTF">2021-12-13T14:27:00Z</dcterms:modified>
</cp:coreProperties>
</file>