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4E6FFB" w:rsidRDefault="00F515CF" w:rsidP="004E6F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E6FF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4E6FFB" w:rsidRDefault="001304CF" w:rsidP="004E6F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FF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4E6FFB">
        <w:rPr>
          <w:rFonts w:ascii="Arial" w:eastAsia="Times New Roman" w:hAnsi="Arial" w:cs="Arial"/>
          <w:b/>
          <w:sz w:val="24"/>
          <w:szCs w:val="24"/>
        </w:rPr>
        <w:t>R</w:t>
      </w:r>
      <w:r w:rsidRPr="004E6FF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4E6FF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4E6FFB" w:rsidRDefault="001168CA" w:rsidP="004E6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4E6FFB" w:rsidRDefault="00FD7F03" w:rsidP="004E6F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4E6FFB" w:rsidRDefault="00F515CF" w:rsidP="004E6F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E6FF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A08E0" w:rsidRPr="004E6FFB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91AED" w:rsidRPr="004E6FF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EA1042" w:rsidRPr="004E6FFB">
        <w:rPr>
          <w:rFonts w:ascii="Arial" w:eastAsia="Times New Roman" w:hAnsi="Arial" w:cs="Arial"/>
          <w:b/>
          <w:bCs/>
          <w:sz w:val="24"/>
          <w:szCs w:val="24"/>
        </w:rPr>
        <w:t>61</w:t>
      </w:r>
    </w:p>
    <w:p w:rsidR="00FF1348" w:rsidRPr="004E6FFB" w:rsidRDefault="00F515CF" w:rsidP="004E6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FF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4E6FFB" w:rsidRDefault="00687C52" w:rsidP="004E6F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A0D8B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C91AED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C91AED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06</w:t>
      </w:r>
      <w:r w:rsidR="00667C44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91AED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4E6FFB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4E6FFB" w:rsidRDefault="00F7636A" w:rsidP="004E6FFB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4163CB" w:rsidRPr="004E6FFB" w:rsidRDefault="004163CB" w:rsidP="004E6FF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4E6FFB">
        <w:rPr>
          <w:rFonts w:ascii="Arial" w:hAnsi="Arial" w:cs="Arial"/>
          <w:b/>
          <w:sz w:val="24"/>
          <w:szCs w:val="24"/>
          <w:lang w:val="en-GB"/>
        </w:rPr>
        <w:t xml:space="preserve">2661. Mr N S </w:t>
      </w:r>
      <w:proofErr w:type="spellStart"/>
      <w:r w:rsidRPr="004E6FFB">
        <w:rPr>
          <w:rFonts w:ascii="Arial" w:hAnsi="Arial" w:cs="Arial"/>
          <w:b/>
          <w:sz w:val="24"/>
          <w:szCs w:val="24"/>
          <w:lang w:val="en-GB"/>
        </w:rPr>
        <w:t>Matiase</w:t>
      </w:r>
      <w:proofErr w:type="spellEnd"/>
      <w:r w:rsidRPr="004E6FFB">
        <w:rPr>
          <w:rFonts w:ascii="Arial" w:hAnsi="Arial" w:cs="Arial"/>
          <w:b/>
          <w:sz w:val="24"/>
          <w:szCs w:val="24"/>
          <w:lang w:val="en-GB"/>
        </w:rPr>
        <w:t xml:space="preserve"> (EFF) to ask the Minister of Agriculture, Land Reform and Rural Development</w:t>
      </w:r>
      <w:r w:rsidR="00B733CC" w:rsidRPr="004E6FFB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4E6FFB">
        <w:rPr>
          <w:rFonts w:ascii="Arial" w:hAnsi="Arial" w:cs="Arial"/>
          <w:sz w:val="24"/>
          <w:szCs w:val="24"/>
        </w:rPr>
        <w:instrText xml:space="preserve"> XE "</w:instrText>
      </w:r>
      <w:r w:rsidRPr="004E6FFB">
        <w:rPr>
          <w:rFonts w:ascii="Arial" w:hAnsi="Arial" w:cs="Arial"/>
          <w:b/>
          <w:sz w:val="24"/>
          <w:szCs w:val="24"/>
          <w:lang w:val="en-GB"/>
        </w:rPr>
        <w:instrText>Agriculture, Land Reform and Rural Development</w:instrText>
      </w:r>
      <w:r w:rsidRPr="004E6FFB">
        <w:rPr>
          <w:rFonts w:ascii="Arial" w:hAnsi="Arial" w:cs="Arial"/>
          <w:sz w:val="24"/>
          <w:szCs w:val="24"/>
        </w:rPr>
        <w:instrText xml:space="preserve">" </w:instrText>
      </w:r>
      <w:r w:rsidR="00B733CC" w:rsidRPr="004E6FFB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4E6FFB">
        <w:rPr>
          <w:rFonts w:ascii="Arial" w:hAnsi="Arial" w:cs="Arial"/>
          <w:b/>
          <w:sz w:val="24"/>
          <w:szCs w:val="24"/>
          <w:lang w:val="en-GB"/>
        </w:rPr>
        <w:t>:</w:t>
      </w:r>
    </w:p>
    <w:p w:rsidR="004163CB" w:rsidRPr="004E6FFB" w:rsidRDefault="004163CB" w:rsidP="004E6F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163CB" w:rsidRPr="004E6FFB" w:rsidRDefault="004163CB" w:rsidP="004E6F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E6FFB">
        <w:rPr>
          <w:rFonts w:ascii="Arial" w:hAnsi="Arial" w:cs="Arial"/>
          <w:sz w:val="24"/>
          <w:szCs w:val="24"/>
          <w:lang w:val="en-GB"/>
        </w:rPr>
        <w:t>What (a) total number of</w:t>
      </w:r>
      <w:r w:rsidRPr="004E6FF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E6FFB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4E6FFB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4E6FFB"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 w:rsidRPr="004E6FFB">
        <w:rPr>
          <w:rFonts w:ascii="Arial" w:hAnsi="Arial" w:cs="Arial"/>
          <w:sz w:val="24"/>
          <w:szCs w:val="24"/>
          <w:lang w:val="en-GB"/>
        </w:rPr>
        <w:t>farmworkers</w:t>
      </w:r>
      <w:proofErr w:type="spellEnd"/>
      <w:r w:rsidRPr="004E6FFB">
        <w:rPr>
          <w:rFonts w:ascii="Arial" w:hAnsi="Arial" w:cs="Arial"/>
          <w:sz w:val="24"/>
          <w:szCs w:val="24"/>
          <w:lang w:val="en-GB"/>
        </w:rPr>
        <w:t xml:space="preserve"> and (ii) farm dwellers have been evicted from farms since 1994 and (b) is the total breakdown of evictions in each province?                </w:t>
      </w:r>
    </w:p>
    <w:p w:rsidR="004163CB" w:rsidRPr="004E6FFB" w:rsidRDefault="004163CB" w:rsidP="004E6FFB">
      <w:pPr>
        <w:spacing w:after="0" w:line="240" w:lineRule="auto"/>
        <w:ind w:left="79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E6FFB">
        <w:rPr>
          <w:rFonts w:ascii="Arial" w:hAnsi="Arial" w:cs="Arial"/>
          <w:sz w:val="24"/>
          <w:szCs w:val="24"/>
          <w:lang w:val="en-GB"/>
        </w:rPr>
        <w:t xml:space="preserve">     </w:t>
      </w:r>
      <w:r w:rsidRPr="004E6FFB">
        <w:rPr>
          <w:rFonts w:ascii="Arial" w:hAnsi="Arial" w:cs="Arial"/>
          <w:b/>
          <w:color w:val="000000"/>
          <w:sz w:val="24"/>
          <w:szCs w:val="24"/>
          <w:lang w:val="en-GB"/>
        </w:rPr>
        <w:t>NW3376E</w:t>
      </w:r>
    </w:p>
    <w:p w:rsidR="005C6092" w:rsidRPr="004E6FFB" w:rsidRDefault="005C6092" w:rsidP="004E6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092" w:rsidRPr="004E6FFB" w:rsidRDefault="005C6092" w:rsidP="004E6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4E6FFB" w:rsidRDefault="00E433A8" w:rsidP="004E6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FF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4E6FF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4E6FFB">
        <w:rPr>
          <w:rFonts w:ascii="Arial" w:hAnsi="Arial" w:cs="Arial"/>
          <w:b/>
          <w:sz w:val="24"/>
          <w:szCs w:val="24"/>
        </w:rPr>
        <w:t>:</w:t>
      </w:r>
    </w:p>
    <w:p w:rsidR="00E433A8" w:rsidRPr="004E6FFB" w:rsidRDefault="00E433A8" w:rsidP="004E6FF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D1093" w:rsidRDefault="00ED1093" w:rsidP="004E6FFB">
      <w:pPr>
        <w:pStyle w:val="NoSpacing"/>
        <w:numPr>
          <w:ilvl w:val="0"/>
          <w:numId w:val="39"/>
        </w:numPr>
        <w:tabs>
          <w:tab w:val="left" w:pos="1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_Hlk57880085"/>
      <w:r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,(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ii) The </w:t>
      </w:r>
      <w:r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Extension of Security of Tenure Act of 1997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does not distinguish between farmworkers and farm dwellers. </w:t>
      </w:r>
      <w:r w:rsidRPr="004E6FFB">
        <w:rPr>
          <w:rFonts w:ascii="Arial" w:hAnsi="Arial" w:cs="Arial"/>
          <w:bCs/>
          <w:color w:val="000000" w:themeColor="text1"/>
          <w:sz w:val="24"/>
          <w:szCs w:val="24"/>
        </w:rPr>
        <w:t>All persons (whether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farmworker or farm</w:t>
      </w:r>
      <w:r w:rsidR="001161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dweller) residing on farms may be evicted legally in terms of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 Act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ie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with a court order, </w:t>
      </w:r>
      <w:r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or illegally which is an eviction without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court order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as provided in the Act. </w:t>
      </w:r>
    </w:p>
    <w:p w:rsidR="00ED1093" w:rsidRDefault="00ED1093" w:rsidP="00ED1093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D1093" w:rsidRDefault="00ED1093" w:rsidP="00ED1093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According to the Department’s records, </w:t>
      </w:r>
      <w:r w:rsidR="001513C3" w:rsidRPr="00ED1093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903495" w:rsidRPr="00ED109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513C3" w:rsidRPr="00ED1093">
        <w:rPr>
          <w:rFonts w:ascii="Arial" w:hAnsi="Arial" w:cs="Arial"/>
          <w:bCs/>
          <w:color w:val="000000" w:themeColor="text1"/>
          <w:sz w:val="24"/>
          <w:szCs w:val="24"/>
        </w:rPr>
        <w:t xml:space="preserve">066 households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were </w:t>
      </w:r>
      <w:r w:rsidR="001513C3" w:rsidRPr="00ED1093">
        <w:rPr>
          <w:rFonts w:ascii="Arial" w:hAnsi="Arial" w:cs="Arial"/>
          <w:bCs/>
          <w:color w:val="000000" w:themeColor="text1"/>
          <w:sz w:val="24"/>
          <w:szCs w:val="24"/>
        </w:rPr>
        <w:t>evicted from the farms from 2007 to 2020.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This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figure 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is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the n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>umber of evictions granted from 2007 to October 2020 by Magistrate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s’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 courts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throughout 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country. E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victions granted by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Land Claims Court from 1994 to </w:t>
      </w:r>
      <w:r w:rsidR="00BD67DC" w:rsidRPr="004E6FFB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are not included above as the court is still compiling its</w:t>
      </w:r>
      <w:r w:rsidR="00BD67DC" w:rsidRPr="004E6FFB">
        <w:rPr>
          <w:rFonts w:ascii="Arial" w:hAnsi="Arial" w:cs="Arial"/>
          <w:bCs/>
          <w:color w:val="000000" w:themeColor="text1"/>
          <w:sz w:val="24"/>
          <w:szCs w:val="24"/>
        </w:rPr>
        <w:t xml:space="preserve"> statistics and such information will be made available once received</w:t>
      </w:r>
      <w:r w:rsidR="00145FFF">
        <w:rPr>
          <w:rFonts w:ascii="Arial" w:hAnsi="Arial" w:cs="Arial"/>
          <w:bCs/>
          <w:color w:val="000000" w:themeColor="text1"/>
          <w:sz w:val="24"/>
          <w:szCs w:val="24"/>
        </w:rPr>
        <w:t xml:space="preserve"> on or before 18 December 2020. </w:t>
      </w:r>
    </w:p>
    <w:p w:rsidR="00ED1093" w:rsidRDefault="00ED1093" w:rsidP="00ED1093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45FFF" w:rsidRDefault="00ED1093" w:rsidP="00ED1093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It should further be noted that not all evictions are </w:t>
      </w:r>
      <w:r w:rsidR="00145FFF" w:rsidRPr="00145FFF">
        <w:rPr>
          <w:rFonts w:ascii="Arial" w:hAnsi="Arial" w:cs="Arial"/>
          <w:bCs/>
          <w:color w:val="000000" w:themeColor="text1"/>
          <w:sz w:val="24"/>
          <w:szCs w:val="24"/>
        </w:rPr>
        <w:t xml:space="preserve">reported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to the Department </w:t>
      </w:r>
      <w:r w:rsidR="00145FFF" w:rsidRPr="00145FFF">
        <w:rPr>
          <w:rFonts w:ascii="Arial" w:hAnsi="Arial" w:cs="Arial"/>
          <w:bCs/>
          <w:color w:val="000000" w:themeColor="text1"/>
          <w:sz w:val="24"/>
          <w:szCs w:val="24"/>
        </w:rPr>
        <w:t>or brought before courts.</w:t>
      </w:r>
    </w:p>
    <w:p w:rsidR="00145FFF" w:rsidRPr="004E6FFB" w:rsidRDefault="00145FFF" w:rsidP="004E6FFB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End w:id="1"/>
    <w:p w:rsidR="006A3A98" w:rsidRPr="004E6FFB" w:rsidRDefault="006A3A98" w:rsidP="004E6FFB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66607" w:rsidRPr="004E6FFB" w:rsidRDefault="00466607" w:rsidP="004E6FFB">
      <w:pPr>
        <w:pStyle w:val="NoSpacing"/>
        <w:numPr>
          <w:ilvl w:val="0"/>
          <w:numId w:val="38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E6FFB">
        <w:rPr>
          <w:rFonts w:ascii="Arial" w:hAnsi="Arial" w:cs="Arial"/>
          <w:bCs/>
          <w:sz w:val="24"/>
          <w:szCs w:val="24"/>
        </w:rPr>
        <w:t>T</w:t>
      </w:r>
      <w:r w:rsidR="006A3A98" w:rsidRPr="004E6FFB">
        <w:rPr>
          <w:rFonts w:ascii="Arial" w:hAnsi="Arial" w:cs="Arial"/>
          <w:bCs/>
          <w:sz w:val="24"/>
          <w:szCs w:val="24"/>
        </w:rPr>
        <w:t xml:space="preserve">he </w:t>
      </w:r>
      <w:r w:rsidR="009E5227" w:rsidRPr="004E6FFB">
        <w:rPr>
          <w:rFonts w:ascii="Arial" w:hAnsi="Arial" w:cs="Arial"/>
          <w:bCs/>
          <w:sz w:val="24"/>
          <w:szCs w:val="24"/>
        </w:rPr>
        <w:t xml:space="preserve">provincial </w:t>
      </w:r>
      <w:r w:rsidRPr="004E6FFB">
        <w:rPr>
          <w:rFonts w:ascii="Arial" w:hAnsi="Arial" w:cs="Arial"/>
          <w:bCs/>
          <w:sz w:val="24"/>
          <w:szCs w:val="24"/>
        </w:rPr>
        <w:t xml:space="preserve">breakdown of </w:t>
      </w:r>
      <w:r w:rsidR="009E5227" w:rsidRPr="004E6FFB">
        <w:rPr>
          <w:rFonts w:ascii="Arial" w:hAnsi="Arial" w:cs="Arial"/>
          <w:bCs/>
          <w:sz w:val="24"/>
          <w:szCs w:val="24"/>
        </w:rPr>
        <w:t>the 1</w:t>
      </w:r>
      <w:r w:rsidR="00504FA8" w:rsidRPr="004E6FFB">
        <w:rPr>
          <w:rFonts w:ascii="Arial" w:hAnsi="Arial" w:cs="Arial"/>
          <w:bCs/>
          <w:sz w:val="24"/>
          <w:szCs w:val="24"/>
        </w:rPr>
        <w:t xml:space="preserve"> </w:t>
      </w:r>
      <w:r w:rsidR="009E5227" w:rsidRPr="004E6FFB">
        <w:rPr>
          <w:rFonts w:ascii="Arial" w:hAnsi="Arial" w:cs="Arial"/>
          <w:bCs/>
          <w:sz w:val="24"/>
          <w:szCs w:val="24"/>
        </w:rPr>
        <w:t xml:space="preserve">066 </w:t>
      </w:r>
      <w:r w:rsidR="00504FA8" w:rsidRPr="004E6FFB">
        <w:rPr>
          <w:rFonts w:ascii="Arial" w:hAnsi="Arial" w:cs="Arial"/>
          <w:bCs/>
          <w:sz w:val="24"/>
          <w:szCs w:val="24"/>
        </w:rPr>
        <w:t>households is</w:t>
      </w:r>
      <w:r w:rsidR="009E5227" w:rsidRPr="004E6FFB">
        <w:rPr>
          <w:rFonts w:ascii="Arial" w:hAnsi="Arial" w:cs="Arial"/>
          <w:bCs/>
          <w:sz w:val="24"/>
          <w:szCs w:val="24"/>
        </w:rPr>
        <w:t xml:space="preserve"> as follows</w:t>
      </w:r>
      <w:r w:rsidRPr="004E6FFB">
        <w:rPr>
          <w:rFonts w:ascii="Arial" w:hAnsi="Arial" w:cs="Arial"/>
          <w:bCs/>
          <w:sz w:val="24"/>
          <w:szCs w:val="24"/>
        </w:rPr>
        <w:t>:</w:t>
      </w:r>
    </w:p>
    <w:p w:rsidR="00466607" w:rsidRPr="004E6FFB" w:rsidRDefault="00466607" w:rsidP="004E6FFB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097" w:type="dxa"/>
        <w:tblInd w:w="-5" w:type="dxa"/>
        <w:tblLook w:val="04A0"/>
      </w:tblPr>
      <w:tblGrid>
        <w:gridCol w:w="1468"/>
        <w:gridCol w:w="799"/>
        <w:gridCol w:w="634"/>
        <w:gridCol w:w="877"/>
        <w:gridCol w:w="899"/>
        <w:gridCol w:w="910"/>
        <w:gridCol w:w="1288"/>
        <w:gridCol w:w="715"/>
        <w:gridCol w:w="910"/>
        <w:gridCol w:w="855"/>
        <w:gridCol w:w="742"/>
      </w:tblGrid>
      <w:tr w:rsidR="009E5227" w:rsidRPr="004E6FFB" w:rsidTr="005E1F47">
        <w:trPr>
          <w:trHeight w:val="50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Eastern Cape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Free State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Gauteng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KwaZulu Natal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Limpopo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Mpumalanga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North West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Northern Cape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Western Cape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ind w:left="-113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E5227" w:rsidRPr="004E6FFB" w:rsidTr="005E1F47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Legal/Court Order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769</w:t>
            </w:r>
          </w:p>
        </w:tc>
      </w:tr>
      <w:tr w:rsidR="009E5227" w:rsidRPr="004E6FFB" w:rsidTr="005E1F47">
        <w:trPr>
          <w:trHeight w:val="41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Illegally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</w:tr>
      <w:tr w:rsidR="009E5227" w:rsidRPr="004E6FFB" w:rsidTr="005E1F47">
        <w:trPr>
          <w:trHeight w:val="41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5227" w:rsidRPr="004E6FFB" w:rsidRDefault="009E5227" w:rsidP="004E6FFB">
            <w:pPr>
              <w:pStyle w:val="NoSpacing"/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F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7" w:rsidRPr="004E6FFB" w:rsidRDefault="009E5227" w:rsidP="004E6F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67DC" w:rsidRPr="004E6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6FFB">
              <w:rPr>
                <w:rFonts w:ascii="Arial" w:hAnsi="Arial" w:cs="Arial"/>
                <w:color w:val="000000"/>
                <w:sz w:val="20"/>
                <w:szCs w:val="20"/>
              </w:rPr>
              <w:t>066</w:t>
            </w:r>
          </w:p>
        </w:tc>
      </w:tr>
    </w:tbl>
    <w:p w:rsidR="00B51962" w:rsidRPr="00903495" w:rsidRDefault="00B51962" w:rsidP="00466607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</w:p>
    <w:sectPr w:rsidR="00B51962" w:rsidRPr="00903495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C3C59"/>
    <w:multiLevelType w:val="hybridMultilevel"/>
    <w:tmpl w:val="8A369A34"/>
    <w:lvl w:ilvl="0" w:tplc="9C7A71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145"/>
    <w:multiLevelType w:val="hybridMultilevel"/>
    <w:tmpl w:val="F6EA03E2"/>
    <w:lvl w:ilvl="0" w:tplc="AB6A7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E6108"/>
    <w:multiLevelType w:val="hybridMultilevel"/>
    <w:tmpl w:val="A0AC5B06"/>
    <w:lvl w:ilvl="0" w:tplc="A4A851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D516F"/>
    <w:multiLevelType w:val="hybridMultilevel"/>
    <w:tmpl w:val="00EE0A14"/>
    <w:lvl w:ilvl="0" w:tplc="C1E297C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AEC4149C">
      <w:start w:val="1"/>
      <w:numFmt w:val="lowerRoman"/>
      <w:lvlText w:val="(%3)."/>
      <w:lvlJc w:val="right"/>
      <w:pPr>
        <w:ind w:left="1800" w:hanging="180"/>
      </w:pPr>
      <w:rPr>
        <w:rFonts w:hint="default"/>
        <w:b w:val="0"/>
        <w:bCs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1C4393"/>
    <w:multiLevelType w:val="hybridMultilevel"/>
    <w:tmpl w:val="213EBA42"/>
    <w:lvl w:ilvl="0" w:tplc="D27A12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9344D9"/>
    <w:multiLevelType w:val="hybridMultilevel"/>
    <w:tmpl w:val="AD54F9FC"/>
    <w:lvl w:ilvl="0" w:tplc="0A0CCD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010A5"/>
    <w:multiLevelType w:val="hybridMultilevel"/>
    <w:tmpl w:val="7700B17A"/>
    <w:lvl w:ilvl="0" w:tplc="A8AAEE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67540"/>
    <w:multiLevelType w:val="hybridMultilevel"/>
    <w:tmpl w:val="C42C643E"/>
    <w:lvl w:ilvl="0" w:tplc="1D3CDE3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B23B3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712AC"/>
    <w:multiLevelType w:val="hybridMultilevel"/>
    <w:tmpl w:val="473AEF5E"/>
    <w:lvl w:ilvl="0" w:tplc="12DE20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36"/>
  </w:num>
  <w:num w:numId="5">
    <w:abstractNumId w:val="3"/>
  </w:num>
  <w:num w:numId="6">
    <w:abstractNumId w:val="22"/>
  </w:num>
  <w:num w:numId="7">
    <w:abstractNumId w:val="37"/>
  </w:num>
  <w:num w:numId="8">
    <w:abstractNumId w:val="1"/>
  </w:num>
  <w:num w:numId="9">
    <w:abstractNumId w:val="16"/>
  </w:num>
  <w:num w:numId="10">
    <w:abstractNumId w:val="34"/>
  </w:num>
  <w:num w:numId="11">
    <w:abstractNumId w:val="25"/>
  </w:num>
  <w:num w:numId="12">
    <w:abstractNumId w:val="2"/>
  </w:num>
  <w:num w:numId="13">
    <w:abstractNumId w:val="15"/>
  </w:num>
  <w:num w:numId="14">
    <w:abstractNumId w:val="33"/>
  </w:num>
  <w:num w:numId="15">
    <w:abstractNumId w:val="29"/>
  </w:num>
  <w:num w:numId="16">
    <w:abstractNumId w:val="8"/>
  </w:num>
  <w:num w:numId="17">
    <w:abstractNumId w:val="20"/>
  </w:num>
  <w:num w:numId="18">
    <w:abstractNumId w:val="21"/>
  </w:num>
  <w:num w:numId="19">
    <w:abstractNumId w:val="18"/>
  </w:num>
  <w:num w:numId="20">
    <w:abstractNumId w:val="30"/>
  </w:num>
  <w:num w:numId="21">
    <w:abstractNumId w:val="26"/>
  </w:num>
  <w:num w:numId="22">
    <w:abstractNumId w:val="24"/>
  </w:num>
  <w:num w:numId="23">
    <w:abstractNumId w:val="32"/>
  </w:num>
  <w:num w:numId="24">
    <w:abstractNumId w:val="0"/>
  </w:num>
  <w:num w:numId="25">
    <w:abstractNumId w:val="4"/>
  </w:num>
  <w:num w:numId="26">
    <w:abstractNumId w:val="35"/>
  </w:num>
  <w:num w:numId="27">
    <w:abstractNumId w:val="6"/>
  </w:num>
  <w:num w:numId="28">
    <w:abstractNumId w:val="28"/>
  </w:num>
  <w:num w:numId="29">
    <w:abstractNumId w:val="9"/>
  </w:num>
  <w:num w:numId="30">
    <w:abstractNumId w:val="17"/>
  </w:num>
  <w:num w:numId="31">
    <w:abstractNumId w:val="27"/>
  </w:num>
  <w:num w:numId="32">
    <w:abstractNumId w:val="11"/>
  </w:num>
  <w:num w:numId="33">
    <w:abstractNumId w:val="7"/>
  </w:num>
  <w:num w:numId="34">
    <w:abstractNumId w:val="14"/>
  </w:num>
  <w:num w:numId="35">
    <w:abstractNumId w:val="10"/>
  </w:num>
  <w:num w:numId="36">
    <w:abstractNumId w:val="19"/>
  </w:num>
  <w:num w:numId="37">
    <w:abstractNumId w:val="13"/>
  </w:num>
  <w:num w:numId="38">
    <w:abstractNumId w:val="23"/>
  </w:num>
  <w:num w:numId="39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4D0"/>
    <w:rsid w:val="000368F2"/>
    <w:rsid w:val="00052F7C"/>
    <w:rsid w:val="000538D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20FC"/>
    <w:rsid w:val="000C56A8"/>
    <w:rsid w:val="000D2721"/>
    <w:rsid w:val="000E1870"/>
    <w:rsid w:val="000E3B6E"/>
    <w:rsid w:val="000F0921"/>
    <w:rsid w:val="00101158"/>
    <w:rsid w:val="00112595"/>
    <w:rsid w:val="0011610B"/>
    <w:rsid w:val="001168CA"/>
    <w:rsid w:val="001171F1"/>
    <w:rsid w:val="00122668"/>
    <w:rsid w:val="001304CF"/>
    <w:rsid w:val="00137772"/>
    <w:rsid w:val="00141744"/>
    <w:rsid w:val="00143147"/>
    <w:rsid w:val="00145FFF"/>
    <w:rsid w:val="001513C3"/>
    <w:rsid w:val="0015243C"/>
    <w:rsid w:val="00154941"/>
    <w:rsid w:val="001653A5"/>
    <w:rsid w:val="00173910"/>
    <w:rsid w:val="001935BD"/>
    <w:rsid w:val="00193846"/>
    <w:rsid w:val="001B0217"/>
    <w:rsid w:val="001B777F"/>
    <w:rsid w:val="001B7997"/>
    <w:rsid w:val="001C3192"/>
    <w:rsid w:val="001D3245"/>
    <w:rsid w:val="001D3373"/>
    <w:rsid w:val="001D5C1B"/>
    <w:rsid w:val="001D76F9"/>
    <w:rsid w:val="001E1CEE"/>
    <w:rsid w:val="001E733B"/>
    <w:rsid w:val="001E7DD3"/>
    <w:rsid w:val="001E7E29"/>
    <w:rsid w:val="001F4174"/>
    <w:rsid w:val="001F5771"/>
    <w:rsid w:val="00203631"/>
    <w:rsid w:val="002146A3"/>
    <w:rsid w:val="0021572E"/>
    <w:rsid w:val="0022655D"/>
    <w:rsid w:val="00234BE4"/>
    <w:rsid w:val="002355A7"/>
    <w:rsid w:val="00240669"/>
    <w:rsid w:val="00254E7C"/>
    <w:rsid w:val="00276CAA"/>
    <w:rsid w:val="00280CDD"/>
    <w:rsid w:val="00282A55"/>
    <w:rsid w:val="00290E28"/>
    <w:rsid w:val="00297A75"/>
    <w:rsid w:val="00297E5F"/>
    <w:rsid w:val="002A00D0"/>
    <w:rsid w:val="002C5DC3"/>
    <w:rsid w:val="002D7DCF"/>
    <w:rsid w:val="002E0C58"/>
    <w:rsid w:val="002E116B"/>
    <w:rsid w:val="002F203C"/>
    <w:rsid w:val="002F31C6"/>
    <w:rsid w:val="0030133E"/>
    <w:rsid w:val="0031187C"/>
    <w:rsid w:val="003121C9"/>
    <w:rsid w:val="003143D9"/>
    <w:rsid w:val="003216AC"/>
    <w:rsid w:val="003239AD"/>
    <w:rsid w:val="00325C2A"/>
    <w:rsid w:val="00326AEC"/>
    <w:rsid w:val="003409CC"/>
    <w:rsid w:val="0034601D"/>
    <w:rsid w:val="00346DCF"/>
    <w:rsid w:val="00347028"/>
    <w:rsid w:val="0035605B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A608F"/>
    <w:rsid w:val="003C11E4"/>
    <w:rsid w:val="003D1330"/>
    <w:rsid w:val="003D548B"/>
    <w:rsid w:val="003E310F"/>
    <w:rsid w:val="003F0D7E"/>
    <w:rsid w:val="003F27D2"/>
    <w:rsid w:val="003F375F"/>
    <w:rsid w:val="004031A4"/>
    <w:rsid w:val="004034CA"/>
    <w:rsid w:val="00412A28"/>
    <w:rsid w:val="004163CB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105"/>
    <w:rsid w:val="004502CE"/>
    <w:rsid w:val="004521E7"/>
    <w:rsid w:val="00456125"/>
    <w:rsid w:val="00466607"/>
    <w:rsid w:val="00473A47"/>
    <w:rsid w:val="00475929"/>
    <w:rsid w:val="004835D2"/>
    <w:rsid w:val="00485314"/>
    <w:rsid w:val="004877BD"/>
    <w:rsid w:val="004A2B78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E6FFB"/>
    <w:rsid w:val="004F25D4"/>
    <w:rsid w:val="004F33BF"/>
    <w:rsid w:val="004F452F"/>
    <w:rsid w:val="004F4F02"/>
    <w:rsid w:val="00504FA8"/>
    <w:rsid w:val="005057D6"/>
    <w:rsid w:val="00507DEF"/>
    <w:rsid w:val="00511BE9"/>
    <w:rsid w:val="00512497"/>
    <w:rsid w:val="00520F42"/>
    <w:rsid w:val="00535E36"/>
    <w:rsid w:val="00536728"/>
    <w:rsid w:val="00545935"/>
    <w:rsid w:val="005525F3"/>
    <w:rsid w:val="00554B5D"/>
    <w:rsid w:val="00556504"/>
    <w:rsid w:val="0056490D"/>
    <w:rsid w:val="00567BDA"/>
    <w:rsid w:val="00574000"/>
    <w:rsid w:val="0058378C"/>
    <w:rsid w:val="00593B26"/>
    <w:rsid w:val="005A08E0"/>
    <w:rsid w:val="005A2059"/>
    <w:rsid w:val="005A6CE2"/>
    <w:rsid w:val="005B0567"/>
    <w:rsid w:val="005B1644"/>
    <w:rsid w:val="005C2439"/>
    <w:rsid w:val="005C6092"/>
    <w:rsid w:val="005C6330"/>
    <w:rsid w:val="005C7255"/>
    <w:rsid w:val="005C7CAD"/>
    <w:rsid w:val="005D29E0"/>
    <w:rsid w:val="005D6E12"/>
    <w:rsid w:val="005E0E57"/>
    <w:rsid w:val="005E1F4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03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56F2"/>
    <w:rsid w:val="00677FBF"/>
    <w:rsid w:val="00687C52"/>
    <w:rsid w:val="0069035B"/>
    <w:rsid w:val="00695C3D"/>
    <w:rsid w:val="006979A5"/>
    <w:rsid w:val="00697BA5"/>
    <w:rsid w:val="006A0159"/>
    <w:rsid w:val="006A2F5B"/>
    <w:rsid w:val="006A2F95"/>
    <w:rsid w:val="006A3A41"/>
    <w:rsid w:val="006A3A98"/>
    <w:rsid w:val="006B1C73"/>
    <w:rsid w:val="006B2D09"/>
    <w:rsid w:val="006B47E2"/>
    <w:rsid w:val="006C0FDA"/>
    <w:rsid w:val="006C2653"/>
    <w:rsid w:val="006D0EEE"/>
    <w:rsid w:val="006D28DF"/>
    <w:rsid w:val="006D413B"/>
    <w:rsid w:val="006D4515"/>
    <w:rsid w:val="006D49DA"/>
    <w:rsid w:val="006D7CF1"/>
    <w:rsid w:val="006E4AE6"/>
    <w:rsid w:val="006F07E2"/>
    <w:rsid w:val="006F2B6D"/>
    <w:rsid w:val="006F44A2"/>
    <w:rsid w:val="006F5F37"/>
    <w:rsid w:val="00710414"/>
    <w:rsid w:val="00710415"/>
    <w:rsid w:val="007133B5"/>
    <w:rsid w:val="00715981"/>
    <w:rsid w:val="0071689A"/>
    <w:rsid w:val="00721BF6"/>
    <w:rsid w:val="00726E7F"/>
    <w:rsid w:val="00730EBE"/>
    <w:rsid w:val="007457D6"/>
    <w:rsid w:val="00751CFE"/>
    <w:rsid w:val="00781447"/>
    <w:rsid w:val="00796173"/>
    <w:rsid w:val="007A557F"/>
    <w:rsid w:val="007C43AC"/>
    <w:rsid w:val="007C5914"/>
    <w:rsid w:val="007C5DF5"/>
    <w:rsid w:val="007C6789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6E53"/>
    <w:rsid w:val="00820FBB"/>
    <w:rsid w:val="0082253A"/>
    <w:rsid w:val="00827468"/>
    <w:rsid w:val="008317A9"/>
    <w:rsid w:val="008328A6"/>
    <w:rsid w:val="00846512"/>
    <w:rsid w:val="00850FCB"/>
    <w:rsid w:val="00854733"/>
    <w:rsid w:val="008618AA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C7E78"/>
    <w:rsid w:val="008D3AF8"/>
    <w:rsid w:val="008D49B1"/>
    <w:rsid w:val="008D7836"/>
    <w:rsid w:val="008E686A"/>
    <w:rsid w:val="008F1E1B"/>
    <w:rsid w:val="008F22DD"/>
    <w:rsid w:val="008F3012"/>
    <w:rsid w:val="008F7647"/>
    <w:rsid w:val="008F7745"/>
    <w:rsid w:val="00901E7D"/>
    <w:rsid w:val="00902BA5"/>
    <w:rsid w:val="00903495"/>
    <w:rsid w:val="009078FB"/>
    <w:rsid w:val="009105EA"/>
    <w:rsid w:val="009121A3"/>
    <w:rsid w:val="00924313"/>
    <w:rsid w:val="00933828"/>
    <w:rsid w:val="00933D88"/>
    <w:rsid w:val="009457EF"/>
    <w:rsid w:val="00951558"/>
    <w:rsid w:val="00956AE7"/>
    <w:rsid w:val="009621BB"/>
    <w:rsid w:val="0097613A"/>
    <w:rsid w:val="0097678F"/>
    <w:rsid w:val="009823D6"/>
    <w:rsid w:val="00995E51"/>
    <w:rsid w:val="009A133D"/>
    <w:rsid w:val="009A3867"/>
    <w:rsid w:val="009A5D52"/>
    <w:rsid w:val="009B00AA"/>
    <w:rsid w:val="009C1DC2"/>
    <w:rsid w:val="009C7295"/>
    <w:rsid w:val="009D06BE"/>
    <w:rsid w:val="009D14E6"/>
    <w:rsid w:val="009D270D"/>
    <w:rsid w:val="009D3774"/>
    <w:rsid w:val="009D55E2"/>
    <w:rsid w:val="009D5720"/>
    <w:rsid w:val="009E5227"/>
    <w:rsid w:val="009E7F7A"/>
    <w:rsid w:val="009F0324"/>
    <w:rsid w:val="009F69BF"/>
    <w:rsid w:val="00A061B1"/>
    <w:rsid w:val="00A11407"/>
    <w:rsid w:val="00A12546"/>
    <w:rsid w:val="00A12A1F"/>
    <w:rsid w:val="00A5099E"/>
    <w:rsid w:val="00A52753"/>
    <w:rsid w:val="00A5760D"/>
    <w:rsid w:val="00A757DA"/>
    <w:rsid w:val="00A811CD"/>
    <w:rsid w:val="00A835DF"/>
    <w:rsid w:val="00AA2EBA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4534"/>
    <w:rsid w:val="00B27A1B"/>
    <w:rsid w:val="00B33396"/>
    <w:rsid w:val="00B35E24"/>
    <w:rsid w:val="00B47578"/>
    <w:rsid w:val="00B51962"/>
    <w:rsid w:val="00B6240B"/>
    <w:rsid w:val="00B66E56"/>
    <w:rsid w:val="00B71E7C"/>
    <w:rsid w:val="00B72514"/>
    <w:rsid w:val="00B730C6"/>
    <w:rsid w:val="00B733CC"/>
    <w:rsid w:val="00B8633E"/>
    <w:rsid w:val="00B87010"/>
    <w:rsid w:val="00B91DBF"/>
    <w:rsid w:val="00B97E5C"/>
    <w:rsid w:val="00BB0024"/>
    <w:rsid w:val="00BB2068"/>
    <w:rsid w:val="00BB2FDE"/>
    <w:rsid w:val="00BC2F11"/>
    <w:rsid w:val="00BD67DC"/>
    <w:rsid w:val="00BE0614"/>
    <w:rsid w:val="00C051D6"/>
    <w:rsid w:val="00C120FE"/>
    <w:rsid w:val="00C123AE"/>
    <w:rsid w:val="00C14953"/>
    <w:rsid w:val="00C15FC4"/>
    <w:rsid w:val="00C358F6"/>
    <w:rsid w:val="00C366DC"/>
    <w:rsid w:val="00C47238"/>
    <w:rsid w:val="00C7139C"/>
    <w:rsid w:val="00C74FEA"/>
    <w:rsid w:val="00C8385C"/>
    <w:rsid w:val="00C83915"/>
    <w:rsid w:val="00C91AED"/>
    <w:rsid w:val="00C94A47"/>
    <w:rsid w:val="00CA1537"/>
    <w:rsid w:val="00CA3FC5"/>
    <w:rsid w:val="00CA5B30"/>
    <w:rsid w:val="00CA73BE"/>
    <w:rsid w:val="00CB0BEC"/>
    <w:rsid w:val="00CB1665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2739"/>
    <w:rsid w:val="00D12F0E"/>
    <w:rsid w:val="00D16E3E"/>
    <w:rsid w:val="00D17A5F"/>
    <w:rsid w:val="00D4758D"/>
    <w:rsid w:val="00D66976"/>
    <w:rsid w:val="00D67FFE"/>
    <w:rsid w:val="00D74FD7"/>
    <w:rsid w:val="00D767A4"/>
    <w:rsid w:val="00D850B2"/>
    <w:rsid w:val="00D86E2C"/>
    <w:rsid w:val="00D87A79"/>
    <w:rsid w:val="00D91FE4"/>
    <w:rsid w:val="00D97EFF"/>
    <w:rsid w:val="00DA7AE2"/>
    <w:rsid w:val="00DB2934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035FC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5957"/>
    <w:rsid w:val="00E648A4"/>
    <w:rsid w:val="00E805D6"/>
    <w:rsid w:val="00E81668"/>
    <w:rsid w:val="00E82455"/>
    <w:rsid w:val="00E94873"/>
    <w:rsid w:val="00E96F22"/>
    <w:rsid w:val="00EA1042"/>
    <w:rsid w:val="00EB298B"/>
    <w:rsid w:val="00EB5DF3"/>
    <w:rsid w:val="00EC6216"/>
    <w:rsid w:val="00ED1093"/>
    <w:rsid w:val="00EE0F52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1727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05FC"/>
    <w:rsid w:val="00F6615B"/>
    <w:rsid w:val="00F7636A"/>
    <w:rsid w:val="00F8320C"/>
    <w:rsid w:val="00F832DB"/>
    <w:rsid w:val="00F83BBF"/>
    <w:rsid w:val="00F87BF1"/>
    <w:rsid w:val="00F973DE"/>
    <w:rsid w:val="00FA07B1"/>
    <w:rsid w:val="00FA0D8B"/>
    <w:rsid w:val="00FA166D"/>
    <w:rsid w:val="00FA2B35"/>
    <w:rsid w:val="00FA4F67"/>
    <w:rsid w:val="00FA5553"/>
    <w:rsid w:val="00FB08ED"/>
    <w:rsid w:val="00FB0C30"/>
    <w:rsid w:val="00FB1669"/>
    <w:rsid w:val="00FC3756"/>
    <w:rsid w:val="00FC54FF"/>
    <w:rsid w:val="00FC653F"/>
    <w:rsid w:val="00FD068D"/>
    <w:rsid w:val="00FD73C9"/>
    <w:rsid w:val="00FD7F03"/>
    <w:rsid w:val="00FE21FB"/>
    <w:rsid w:val="00FE2827"/>
    <w:rsid w:val="00FE50A9"/>
    <w:rsid w:val="00FE62AF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table" w:styleId="TableGrid">
    <w:name w:val="Table Grid"/>
    <w:basedOn w:val="TableNormal"/>
    <w:uiPriority w:val="59"/>
    <w:rsid w:val="0046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12E3-494F-4AB2-8D0E-B0E449D3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2021-01-24T15:46:00Z</dcterms:created>
  <dcterms:modified xsi:type="dcterms:W3CDTF">2021-01-24T15:46:00Z</dcterms:modified>
</cp:coreProperties>
</file>