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69" w:rsidRDefault="00F02569" w:rsidP="00F0256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F02569" w:rsidRDefault="00F02569" w:rsidP="00F0256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F02569" w:rsidRDefault="00F02569" w:rsidP="00F0256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F02569" w:rsidRPr="00BF2BB1" w:rsidRDefault="00F02569" w:rsidP="00F0256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F02569" w:rsidRDefault="00F02569" w:rsidP="00F02569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1046EF">
        <w:rPr>
          <w:rFonts w:ascii="Arial" w:hAnsi="Arial" w:cs="Arial"/>
          <w:b/>
        </w:rPr>
        <w:t>2650.</w:t>
      </w:r>
      <w:r w:rsidRPr="001046EF">
        <w:rPr>
          <w:rFonts w:ascii="Arial" w:hAnsi="Arial" w:cs="Arial"/>
          <w:b/>
        </w:rPr>
        <w:tab/>
        <w:t>Mr R W T Chance (DA) to ask the Minister of Small Business Development:</w:t>
      </w:r>
    </w:p>
    <w:p w:rsidR="00F02569" w:rsidRPr="001046EF" w:rsidRDefault="00F02569" w:rsidP="00F02569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F02569" w:rsidRDefault="00F02569" w:rsidP="00F02569">
      <w:pPr>
        <w:spacing w:after="0" w:line="360" w:lineRule="auto"/>
        <w:ind w:left="851" w:hanging="851"/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</w:rPr>
        <w:tab/>
      </w:r>
      <w:r w:rsidRPr="001046EF">
        <w:rPr>
          <w:rFonts w:ascii="Arial" w:hAnsi="Arial" w:cs="Arial"/>
          <w:b/>
        </w:rPr>
        <w:t>With regard to disputes between Small Enterpr</w:t>
      </w:r>
      <w:r>
        <w:rPr>
          <w:rFonts w:ascii="Arial" w:hAnsi="Arial" w:cs="Arial"/>
          <w:b/>
        </w:rPr>
        <w:t>ise Finance Agency SOC Ltd (SEFA</w:t>
      </w:r>
      <w:r w:rsidRPr="001046EF">
        <w:rPr>
          <w:rFonts w:ascii="Arial" w:hAnsi="Arial" w:cs="Arial"/>
          <w:b/>
        </w:rPr>
        <w:t>) and its clients over non-payment of loans, (a) what number of loans has S</w:t>
      </w:r>
      <w:r>
        <w:rPr>
          <w:rFonts w:ascii="Arial" w:hAnsi="Arial" w:cs="Arial"/>
          <w:b/>
        </w:rPr>
        <w:t>EFA</w:t>
      </w:r>
      <w:r w:rsidRPr="001046EF">
        <w:rPr>
          <w:rFonts w:ascii="Arial" w:hAnsi="Arial" w:cs="Arial"/>
          <w:b/>
        </w:rPr>
        <w:t xml:space="preserve"> referred to its legal team, (b) what is the tot</w:t>
      </w:r>
      <w:r>
        <w:rPr>
          <w:rFonts w:ascii="Arial" w:hAnsi="Arial" w:cs="Arial"/>
          <w:b/>
        </w:rPr>
        <w:t xml:space="preserve">al amount in </w:t>
      </w:r>
      <w:proofErr w:type="spellStart"/>
      <w:r>
        <w:rPr>
          <w:rFonts w:ascii="Arial" w:hAnsi="Arial" w:cs="Arial"/>
          <w:b/>
        </w:rPr>
        <w:t>Rands</w:t>
      </w:r>
      <w:proofErr w:type="spellEnd"/>
      <w:r>
        <w:rPr>
          <w:rFonts w:ascii="Arial" w:hAnsi="Arial" w:cs="Arial"/>
          <w:b/>
        </w:rPr>
        <w:t xml:space="preserve"> owing to SEFA</w:t>
      </w:r>
      <w:r w:rsidRPr="001046EF">
        <w:rPr>
          <w:rFonts w:ascii="Arial" w:hAnsi="Arial" w:cs="Arial"/>
          <w:b/>
        </w:rPr>
        <w:t xml:space="preserve"> in these disputes, (c) what is the age analysis of these amounts owed, (d) what percenta</w:t>
      </w:r>
      <w:r>
        <w:rPr>
          <w:rFonts w:ascii="Arial" w:hAnsi="Arial" w:cs="Arial"/>
          <w:b/>
        </w:rPr>
        <w:t>ge of the total amount does SEFA</w:t>
      </w:r>
      <w:r w:rsidRPr="001046EF">
        <w:rPr>
          <w:rFonts w:ascii="Arial" w:hAnsi="Arial" w:cs="Arial"/>
          <w:b/>
        </w:rPr>
        <w:t xml:space="preserve"> expect to write off as bad debt in the current financial year and (e) how many of (i) thes</w:t>
      </w:r>
      <w:r>
        <w:rPr>
          <w:rFonts w:ascii="Arial" w:hAnsi="Arial" w:cs="Arial"/>
          <w:b/>
        </w:rPr>
        <w:t>e disputes have resulted in SEFA</w:t>
      </w:r>
      <w:r w:rsidRPr="001046EF">
        <w:rPr>
          <w:rFonts w:ascii="Arial" w:hAnsi="Arial" w:cs="Arial"/>
          <w:b/>
        </w:rPr>
        <w:t xml:space="preserve"> attaching clients' assets to settle the debt owed and (ii) its clients have been liquidated resulting from these legal proceedings</w:t>
      </w:r>
      <w:r w:rsidRPr="001046EF">
        <w:rPr>
          <w:rFonts w:ascii="Arial" w:hAnsi="Arial" w:cs="Arial"/>
          <w:b/>
          <w:lang w:val="af-ZA"/>
        </w:rPr>
        <w:t>?</w:t>
      </w:r>
      <w:r>
        <w:rPr>
          <w:rFonts w:ascii="Arial" w:hAnsi="Arial" w:cs="Arial"/>
          <w:b/>
          <w:lang w:val="af-ZA"/>
        </w:rPr>
        <w:t>”</w:t>
      </w:r>
    </w:p>
    <w:p w:rsidR="00F02569" w:rsidRPr="001046EF" w:rsidRDefault="00F02569" w:rsidP="00F02569">
      <w:pPr>
        <w:spacing w:after="0" w:line="360" w:lineRule="auto"/>
        <w:ind w:left="851" w:hanging="851"/>
        <w:jc w:val="right"/>
        <w:rPr>
          <w:rFonts w:ascii="Arial" w:hAnsi="Arial" w:cs="Arial"/>
          <w:b/>
          <w:lang w:val="af-ZA"/>
        </w:rPr>
      </w:pP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</w:r>
      <w:r w:rsidRPr="001046EF">
        <w:rPr>
          <w:rFonts w:ascii="Arial" w:hAnsi="Arial" w:cs="Arial"/>
          <w:b/>
          <w:lang w:val="af-ZA"/>
        </w:rPr>
        <w:tab/>
        <w:t>NW2956E</w:t>
      </w:r>
    </w:p>
    <w:p w:rsidR="00F02569" w:rsidRPr="00555B6F" w:rsidRDefault="00F02569" w:rsidP="00F02569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F02569" w:rsidRDefault="00F02569" w:rsidP="00F02569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F02569" w:rsidRDefault="00F02569" w:rsidP="00F02569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F02569" w:rsidRPr="001046EF" w:rsidRDefault="00F02569" w:rsidP="00F02569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1046EF">
        <w:rPr>
          <w:rFonts w:ascii="Arial" w:hAnsi="Arial" w:cs="Arial"/>
        </w:rPr>
        <w:t>(a)</w:t>
      </w:r>
      <w:r w:rsidRPr="001046EF">
        <w:rPr>
          <w:rFonts w:ascii="Arial" w:hAnsi="Arial" w:cs="Arial"/>
        </w:rPr>
        <w:tab/>
      </w:r>
      <w:r w:rsidRPr="001046EF">
        <w:rPr>
          <w:rFonts w:ascii="Arial" w:hAnsi="Arial" w:cs="Arial"/>
          <w:lang w:val="en-US"/>
        </w:rPr>
        <w:t>The number of loans that have been referred to SEFA’s legal team is 284, with 277 from Direct Lending and 7 in Wholesale Lending book.</w:t>
      </w:r>
    </w:p>
    <w:p w:rsidR="00F02569" w:rsidRPr="001046EF" w:rsidRDefault="00F02569" w:rsidP="00F02569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1046EF">
        <w:rPr>
          <w:rFonts w:ascii="Arial" w:hAnsi="Arial" w:cs="Arial"/>
        </w:rPr>
        <w:t>(b)</w:t>
      </w:r>
      <w:r w:rsidRPr="001046EF">
        <w:rPr>
          <w:rFonts w:ascii="Arial" w:hAnsi="Arial" w:cs="Arial"/>
        </w:rPr>
        <w:tab/>
      </w:r>
      <w:r w:rsidRPr="001046EF">
        <w:rPr>
          <w:rFonts w:ascii="Arial" w:hAnsi="Arial" w:cs="Arial"/>
          <w:lang w:val="en-US"/>
        </w:rPr>
        <w:t xml:space="preserve">The total amount in </w:t>
      </w:r>
      <w:proofErr w:type="spellStart"/>
      <w:r w:rsidRPr="001046EF">
        <w:rPr>
          <w:rFonts w:ascii="Arial" w:hAnsi="Arial" w:cs="Arial"/>
          <w:lang w:val="en-US"/>
        </w:rPr>
        <w:t>Rands</w:t>
      </w:r>
      <w:proofErr w:type="spellEnd"/>
      <w:r w:rsidRPr="001046EF">
        <w:rPr>
          <w:rFonts w:ascii="Arial" w:hAnsi="Arial" w:cs="Arial"/>
          <w:lang w:val="en-US"/>
        </w:rPr>
        <w:t xml:space="preserve"> owing to SEFA</w:t>
      </w:r>
      <w:r>
        <w:rPr>
          <w:rFonts w:ascii="Arial" w:hAnsi="Arial" w:cs="Arial"/>
          <w:lang w:val="en-US"/>
        </w:rPr>
        <w:t xml:space="preserve"> </w:t>
      </w:r>
      <w:r w:rsidRPr="001046EF">
        <w:rPr>
          <w:rFonts w:ascii="Arial" w:hAnsi="Arial" w:cs="Arial"/>
          <w:lang w:val="en-US"/>
        </w:rPr>
        <w:t>in these disputes is R534m of which R504 is for direct Lending and R29.5m for wholesale.</w:t>
      </w:r>
    </w:p>
    <w:p w:rsidR="00F02569" w:rsidRPr="001046EF" w:rsidRDefault="00F02569" w:rsidP="00F02569">
      <w:pPr>
        <w:spacing w:after="0" w:line="360" w:lineRule="auto"/>
        <w:ind w:left="709" w:hanging="709"/>
        <w:jc w:val="both"/>
        <w:rPr>
          <w:rFonts w:ascii="Arial" w:hAnsi="Arial" w:cs="Arial"/>
          <w:lang w:val="en-US"/>
        </w:rPr>
      </w:pPr>
      <w:r w:rsidRPr="001046EF">
        <w:rPr>
          <w:rFonts w:ascii="Arial" w:hAnsi="Arial" w:cs="Arial"/>
          <w:lang w:val="en-US"/>
        </w:rPr>
        <w:t xml:space="preserve">(c) </w:t>
      </w:r>
      <w:r>
        <w:rPr>
          <w:rFonts w:ascii="Arial" w:hAnsi="Arial" w:cs="Arial"/>
          <w:lang w:val="en-US"/>
        </w:rPr>
        <w:tab/>
      </w:r>
      <w:r w:rsidRPr="001046EF">
        <w:rPr>
          <w:rFonts w:ascii="Arial" w:hAnsi="Arial" w:cs="Arial"/>
          <w:lang w:val="en-US"/>
        </w:rPr>
        <w:t>The age analysis of the amounts owed is as follows:</w:t>
      </w:r>
    </w:p>
    <w:tbl>
      <w:tblPr>
        <w:tblW w:w="8539" w:type="dxa"/>
        <w:tblInd w:w="699" w:type="dxa"/>
        <w:tblLook w:val="04A0" w:firstRow="1" w:lastRow="0" w:firstColumn="1" w:lastColumn="0" w:noHBand="0" w:noVBand="1"/>
      </w:tblPr>
      <w:tblGrid>
        <w:gridCol w:w="2126"/>
        <w:gridCol w:w="2064"/>
        <w:gridCol w:w="2285"/>
        <w:gridCol w:w="2064"/>
      </w:tblGrid>
      <w:tr w:rsidR="00F02569" w:rsidRPr="001046EF" w:rsidTr="00890A2A">
        <w:trPr>
          <w:trHeight w:val="148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Period</w:t>
            </w:r>
          </w:p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b/>
                <w:bCs/>
                <w:lang w:val="en-US"/>
              </w:rPr>
            </w:pPr>
            <w:r w:rsidRPr="001046EF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046EF">
              <w:rPr>
                <w:rFonts w:ascii="Arial" w:hAnsi="Arial" w:cs="Arial"/>
                <w:b/>
                <w:bCs/>
                <w:lang w:val="en-US"/>
              </w:rPr>
              <w:t>Direct Lending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046EF">
              <w:rPr>
                <w:rFonts w:ascii="Arial" w:hAnsi="Arial" w:cs="Arial"/>
                <w:b/>
                <w:bCs/>
                <w:lang w:val="en-US"/>
              </w:rPr>
              <w:t>Wholesale Lending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046EF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046EF"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046EF"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046EF"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Current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4 588 941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1 147 431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5 736 372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"1-30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2 322 195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1 203 977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3 526 172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31-60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6 750 033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   1 226 358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7 976 391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61-90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2 009 081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         624 696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2 633 777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91-120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2 259 501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       395 402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2 654 903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121-150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2 149 803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         664 410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2 814 213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151-180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3 588 879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        388 460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3 977 339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180+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475 126 945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     24 966 678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500 093 623 </w:t>
            </w:r>
          </w:p>
        </w:tc>
      </w:tr>
      <w:tr w:rsidR="00F02569" w:rsidRPr="001046EF" w:rsidTr="00890A2A">
        <w:trPr>
          <w:trHeight w:val="1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>Total Legal Book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>504 235 869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 xml:space="preserve">        29 469 981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 xml:space="preserve"> 533 705 850 </w:t>
            </w:r>
          </w:p>
        </w:tc>
      </w:tr>
      <w:tr w:rsidR="00F02569" w:rsidRPr="001046EF" w:rsidTr="00890A2A">
        <w:trPr>
          <w:trHeight w:val="14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 </w:t>
            </w:r>
          </w:p>
        </w:tc>
      </w:tr>
      <w:tr w:rsidR="00F02569" w:rsidRPr="001046EF" w:rsidTr="00890A2A">
        <w:trPr>
          <w:trHeight w:val="1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>Number of loans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>277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center"/>
              <w:rPr>
                <w:rFonts w:ascii="Arial" w:hAnsi="Arial" w:cs="Arial"/>
                <w:b/>
                <w:lang w:val="en-US"/>
              </w:rPr>
            </w:pPr>
            <w:r w:rsidRPr="001046EF">
              <w:rPr>
                <w:rFonts w:ascii="Arial" w:hAnsi="Arial" w:cs="Arial"/>
                <w:b/>
                <w:lang w:val="en-US"/>
              </w:rPr>
              <w:t>284</w:t>
            </w:r>
          </w:p>
        </w:tc>
      </w:tr>
    </w:tbl>
    <w:p w:rsidR="00F02569" w:rsidRPr="001046EF" w:rsidRDefault="00F02569" w:rsidP="00F02569">
      <w:pPr>
        <w:spacing w:after="0" w:line="360" w:lineRule="auto"/>
        <w:ind w:left="992" w:hanging="992"/>
        <w:rPr>
          <w:rFonts w:ascii="Arial" w:hAnsi="Arial" w:cs="Arial"/>
          <w:lang w:val="en-US"/>
        </w:rPr>
      </w:pPr>
      <w:r w:rsidRPr="001046EF">
        <w:rPr>
          <w:rFonts w:ascii="Arial" w:hAnsi="Arial" w:cs="Arial"/>
          <w:lang w:val="en-US"/>
        </w:rPr>
        <w:t xml:space="preserve"> </w:t>
      </w:r>
    </w:p>
    <w:p w:rsidR="00F02569" w:rsidRDefault="00F02569" w:rsidP="00F02569">
      <w:pPr>
        <w:spacing w:after="0" w:line="360" w:lineRule="auto"/>
        <w:ind w:left="709" w:hanging="709"/>
        <w:jc w:val="both"/>
        <w:rPr>
          <w:rFonts w:ascii="Arial" w:hAnsi="Arial" w:cs="Arial"/>
          <w:lang w:val="en-US"/>
        </w:rPr>
      </w:pPr>
      <w:r w:rsidRPr="001046EF">
        <w:rPr>
          <w:rFonts w:ascii="Arial" w:hAnsi="Arial" w:cs="Arial"/>
          <w:lang w:val="en-US"/>
        </w:rPr>
        <w:t xml:space="preserve">(d) </w:t>
      </w:r>
      <w:r>
        <w:rPr>
          <w:rFonts w:ascii="Arial" w:hAnsi="Arial" w:cs="Arial"/>
          <w:lang w:val="en-US"/>
        </w:rPr>
        <w:tab/>
      </w:r>
      <w:r w:rsidRPr="001046EF">
        <w:rPr>
          <w:rFonts w:ascii="Arial" w:hAnsi="Arial" w:cs="Arial"/>
          <w:lang w:val="en-US"/>
        </w:rPr>
        <w:t xml:space="preserve">The total amount </w:t>
      </w:r>
      <w:r w:rsidRPr="000C2B32">
        <w:rPr>
          <w:rFonts w:ascii="Arial" w:hAnsi="Arial" w:cs="Arial"/>
          <w:lang w:val="en-US"/>
        </w:rPr>
        <w:t>SEFA</w:t>
      </w:r>
      <w:r w:rsidRPr="001046EF">
        <w:rPr>
          <w:rFonts w:ascii="Arial" w:hAnsi="Arial" w:cs="Arial"/>
          <w:lang w:val="en-US"/>
        </w:rPr>
        <w:t xml:space="preserve"> expects to write off as bad debt in the current year is not easy to determine because the write-offs depend on the extent of co</w:t>
      </w:r>
      <w:r>
        <w:rPr>
          <w:rFonts w:ascii="Arial" w:hAnsi="Arial" w:cs="Arial"/>
          <w:lang w:val="en-US"/>
        </w:rPr>
        <w:t>mpleteness of the legal process,</w:t>
      </w:r>
      <w:r w:rsidRPr="001046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i.e. t</w:t>
      </w:r>
      <w:r w:rsidRPr="001046EF">
        <w:rPr>
          <w:rFonts w:ascii="Arial" w:hAnsi="Arial" w:cs="Arial"/>
          <w:lang w:val="en-US"/>
        </w:rPr>
        <w:t>he Legal process has to be fully exhausted to a reasonable degree that the debt written of is highly unlikely to be recovered.</w:t>
      </w:r>
    </w:p>
    <w:p w:rsidR="00F02569" w:rsidRPr="001046EF" w:rsidRDefault="00F02569" w:rsidP="00F02569">
      <w:pPr>
        <w:spacing w:after="0" w:line="360" w:lineRule="auto"/>
        <w:ind w:left="709" w:hanging="709"/>
        <w:jc w:val="both"/>
        <w:rPr>
          <w:rFonts w:ascii="Arial" w:hAnsi="Arial" w:cs="Arial"/>
          <w:lang w:val="en-US"/>
        </w:rPr>
      </w:pPr>
    </w:p>
    <w:p w:rsidR="00F02569" w:rsidRPr="001046EF" w:rsidRDefault="00F02569" w:rsidP="00F02569">
      <w:pPr>
        <w:spacing w:after="0" w:line="360" w:lineRule="auto"/>
        <w:ind w:left="709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(e)(i)</w:t>
      </w:r>
      <w:r>
        <w:rPr>
          <w:rFonts w:ascii="Arial" w:hAnsi="Arial" w:cs="Arial"/>
          <w:lang w:val="en-US"/>
        </w:rPr>
        <w:tab/>
        <w:t>The table below shows the number of</w:t>
      </w:r>
      <w:r w:rsidRPr="001046EF">
        <w:rPr>
          <w:rFonts w:ascii="Arial" w:hAnsi="Arial" w:cs="Arial"/>
          <w:lang w:val="en-US"/>
        </w:rPr>
        <w:t xml:space="preserve"> disputes </w:t>
      </w:r>
      <w:r>
        <w:rPr>
          <w:rFonts w:ascii="Arial" w:hAnsi="Arial" w:cs="Arial"/>
          <w:lang w:val="en-US"/>
        </w:rPr>
        <w:t xml:space="preserve">that </w:t>
      </w:r>
      <w:r w:rsidRPr="001046EF">
        <w:rPr>
          <w:rFonts w:ascii="Arial" w:hAnsi="Arial" w:cs="Arial"/>
          <w:lang w:val="en-US"/>
        </w:rPr>
        <w:t xml:space="preserve">have resulted in </w:t>
      </w:r>
      <w:r>
        <w:rPr>
          <w:rFonts w:ascii="Arial" w:hAnsi="Arial" w:cs="Arial"/>
          <w:lang w:val="en-US"/>
        </w:rPr>
        <w:t>SEFA</w:t>
      </w:r>
      <w:r w:rsidRPr="001046EF">
        <w:rPr>
          <w:rFonts w:ascii="Arial" w:hAnsi="Arial" w:cs="Arial"/>
          <w:lang w:val="en-US"/>
        </w:rPr>
        <w:t xml:space="preserve"> attaching clients' assets to settle the debt owed. </w:t>
      </w:r>
      <w:r>
        <w:rPr>
          <w:rFonts w:ascii="Arial" w:hAnsi="Arial" w:cs="Arial"/>
          <w:lang w:val="en-US"/>
        </w:rPr>
        <w:t xml:space="preserve"> </w:t>
      </w:r>
      <w:r w:rsidRPr="001046EF">
        <w:rPr>
          <w:rFonts w:ascii="Arial" w:hAnsi="Arial" w:cs="Arial"/>
          <w:lang w:val="en-US"/>
        </w:rPr>
        <w:t>The categories are outlines as follows:</w:t>
      </w:r>
    </w:p>
    <w:tbl>
      <w:tblPr>
        <w:tblW w:w="7325" w:type="dxa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561"/>
        <w:gridCol w:w="2408"/>
      </w:tblGrid>
      <w:tr w:rsidR="00F02569" w:rsidRPr="001046EF" w:rsidTr="00890A2A">
        <w:trPr>
          <w:trHeight w:val="347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Warrant of Execution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     R  9 686 424 </w:t>
            </w:r>
          </w:p>
        </w:tc>
      </w:tr>
      <w:tr w:rsidR="00F02569" w:rsidRPr="001046EF" w:rsidTr="00890A2A">
        <w:trPr>
          <w:trHeight w:val="347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Attachment of Assets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 xml:space="preserve">R  12 420 884 </w:t>
            </w:r>
          </w:p>
        </w:tc>
      </w:tr>
      <w:tr w:rsidR="00F02569" w:rsidRPr="001046EF" w:rsidTr="00890A2A">
        <w:trPr>
          <w:trHeight w:val="347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Sale in Execution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rPr>
                <w:rFonts w:ascii="Arial" w:hAnsi="Arial" w:cs="Arial"/>
                <w:lang w:val="en-US"/>
              </w:rPr>
            </w:pPr>
            <w:r w:rsidRPr="001046E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F02569" w:rsidRPr="001046EF" w:rsidRDefault="00F02569" w:rsidP="00890A2A">
            <w:pPr>
              <w:spacing w:after="0" w:line="240" w:lineRule="auto"/>
              <w:ind w:left="992" w:hanging="99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1046EF">
              <w:rPr>
                <w:rFonts w:ascii="Arial" w:hAnsi="Arial" w:cs="Arial"/>
                <w:lang w:val="en-US"/>
              </w:rPr>
              <w:t xml:space="preserve"> R  17 505 095 </w:t>
            </w:r>
          </w:p>
        </w:tc>
      </w:tr>
    </w:tbl>
    <w:p w:rsidR="00F02569" w:rsidRPr="001046EF" w:rsidRDefault="00F02569" w:rsidP="00F02569">
      <w:pPr>
        <w:spacing w:after="0" w:line="360" w:lineRule="auto"/>
        <w:ind w:left="992" w:hanging="992"/>
        <w:rPr>
          <w:rFonts w:ascii="Arial" w:hAnsi="Arial" w:cs="Arial"/>
          <w:lang w:val="en-US"/>
        </w:rPr>
      </w:pPr>
    </w:p>
    <w:p w:rsidR="00F02569" w:rsidRPr="001046EF" w:rsidRDefault="00F02569" w:rsidP="00F02569">
      <w:pPr>
        <w:spacing w:after="0" w:line="360" w:lineRule="auto"/>
        <w:ind w:left="851" w:hanging="85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en-US"/>
        </w:rPr>
        <w:t xml:space="preserve">   </w:t>
      </w:r>
      <w:r w:rsidRPr="001046EF">
        <w:rPr>
          <w:rFonts w:ascii="Arial" w:hAnsi="Arial" w:cs="Arial"/>
          <w:lang w:val="en-US"/>
        </w:rPr>
        <w:t xml:space="preserve">(ii) </w:t>
      </w:r>
      <w:r>
        <w:rPr>
          <w:rFonts w:ascii="Arial" w:hAnsi="Arial" w:cs="Arial"/>
          <w:lang w:val="en-US"/>
        </w:rPr>
        <w:tab/>
        <w:t>SEFA</w:t>
      </w:r>
      <w:r w:rsidRPr="001046EF">
        <w:rPr>
          <w:rFonts w:ascii="Arial" w:hAnsi="Arial" w:cs="Arial"/>
          <w:lang w:val="en-US"/>
        </w:rPr>
        <w:t xml:space="preserve"> clients</w:t>
      </w:r>
      <w:r>
        <w:rPr>
          <w:rFonts w:ascii="Arial" w:hAnsi="Arial" w:cs="Arial"/>
          <w:lang w:val="en-US"/>
        </w:rPr>
        <w:t xml:space="preserve"> that</w:t>
      </w:r>
      <w:r w:rsidRPr="001046EF">
        <w:rPr>
          <w:rFonts w:ascii="Arial" w:hAnsi="Arial" w:cs="Arial"/>
          <w:lang w:val="en-US"/>
        </w:rPr>
        <w:t xml:space="preserve"> have been liquidated resulting from these legal proceedings:</w:t>
      </w:r>
    </w:p>
    <w:p w:rsidR="00F02569" w:rsidRPr="001046EF" w:rsidRDefault="00F02569" w:rsidP="00F02569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lang w:val="af-ZA"/>
        </w:rPr>
        <w:tab/>
      </w:r>
      <w:r w:rsidRPr="001046EF">
        <w:rPr>
          <w:rFonts w:ascii="Arial" w:hAnsi="Arial" w:cs="Arial"/>
          <w:lang w:val="af-ZA"/>
        </w:rPr>
        <w:t xml:space="preserve">There are 5 accounts in liquidation worth R21 million. </w:t>
      </w:r>
      <w:r>
        <w:rPr>
          <w:rFonts w:ascii="Arial" w:hAnsi="Arial" w:cs="Arial"/>
          <w:lang w:val="af-ZA"/>
        </w:rPr>
        <w:t xml:space="preserve"> </w:t>
      </w:r>
      <w:r w:rsidRPr="001046EF">
        <w:rPr>
          <w:rFonts w:ascii="Arial" w:hAnsi="Arial" w:cs="Arial"/>
          <w:lang w:val="af-ZA"/>
        </w:rPr>
        <w:t xml:space="preserve">It has to be noted that </w:t>
      </w:r>
      <w:r>
        <w:rPr>
          <w:rFonts w:ascii="Arial" w:hAnsi="Arial" w:cs="Arial"/>
          <w:lang w:val="af-ZA"/>
        </w:rPr>
        <w:t>SEFA</w:t>
      </w:r>
      <w:r w:rsidRPr="001046EF">
        <w:rPr>
          <w:rFonts w:ascii="Arial" w:hAnsi="Arial" w:cs="Arial"/>
          <w:lang w:val="af-ZA"/>
        </w:rPr>
        <w:t xml:space="preserve"> does not initiate liquidation proceedings rather all matters in liquidat</w:t>
      </w:r>
      <w:r>
        <w:rPr>
          <w:rFonts w:ascii="Arial" w:hAnsi="Arial" w:cs="Arial"/>
          <w:lang w:val="af-ZA"/>
        </w:rPr>
        <w:t xml:space="preserve">ion are voluntary or ex parte. </w:t>
      </w:r>
    </w:p>
    <w:p w:rsidR="00F02569" w:rsidRDefault="00F02569" w:rsidP="00F02569">
      <w:pPr>
        <w:spacing w:after="0" w:line="360" w:lineRule="auto"/>
        <w:ind w:left="992" w:hanging="992"/>
        <w:jc w:val="both"/>
        <w:rPr>
          <w:rFonts w:ascii="Arial" w:hAnsi="Arial" w:cs="Arial"/>
          <w:b/>
        </w:rPr>
      </w:pPr>
    </w:p>
    <w:p w:rsidR="00F02569" w:rsidRDefault="00F02569" w:rsidP="00F02569">
      <w:pPr>
        <w:spacing w:after="0" w:line="360" w:lineRule="auto"/>
        <w:ind w:left="992" w:hanging="992"/>
        <w:rPr>
          <w:rFonts w:ascii="Arial" w:hAnsi="Arial" w:cs="Arial"/>
          <w:b/>
        </w:rPr>
      </w:pPr>
    </w:p>
    <w:p w:rsidR="00F02569" w:rsidRDefault="00F02569" w:rsidP="00F02569">
      <w:pPr>
        <w:spacing w:after="0" w:line="360" w:lineRule="auto"/>
        <w:ind w:left="992" w:hanging="992"/>
        <w:rPr>
          <w:rFonts w:ascii="Arial" w:hAnsi="Arial" w:cs="Arial"/>
          <w:b/>
        </w:rPr>
        <w:sectPr w:rsidR="00F02569" w:rsidSect="00C47E87">
          <w:footerReference w:type="default" r:id="rId5"/>
          <w:pgSz w:w="11907" w:h="16839" w:code="9"/>
          <w:pgMar w:top="1134" w:right="1134" w:bottom="851" w:left="1134" w:header="720" w:footer="489" w:gutter="0"/>
          <w:pgNumType w:chapStyle="1"/>
          <w:cols w:space="720"/>
          <w:docGrid w:linePitch="360"/>
        </w:sectPr>
      </w:pPr>
    </w:p>
    <w:p w:rsidR="00973DC5" w:rsidRDefault="00973DC5"/>
    <w:p w:rsidR="00F02569" w:rsidRDefault="00F02569">
      <w:bookmarkStart w:id="0" w:name="_GoBack"/>
      <w:bookmarkEnd w:id="0"/>
    </w:p>
    <w:sectPr w:rsidR="00F0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07351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86D" w:rsidRPr="0085386D" w:rsidRDefault="00F02569" w:rsidP="0085386D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DSBD </w:t>
        </w:r>
        <w:r w:rsidRPr="0085386D">
          <w:rPr>
            <w:sz w:val="16"/>
            <w:szCs w:val="16"/>
          </w:rPr>
          <w:t xml:space="preserve">Parliamentary Written </w:t>
        </w:r>
        <w:r>
          <w:rPr>
            <w:sz w:val="16"/>
            <w:szCs w:val="16"/>
          </w:rPr>
          <w:t>2650</w:t>
        </w:r>
        <w:r>
          <w:rPr>
            <w:sz w:val="16"/>
            <w:szCs w:val="16"/>
          </w:rPr>
          <w:t>-NW</w:t>
        </w:r>
        <w:r>
          <w:rPr>
            <w:sz w:val="16"/>
            <w:szCs w:val="16"/>
          </w:rPr>
          <w:t>2956</w:t>
        </w:r>
        <w:r w:rsidRPr="0085386D">
          <w:rPr>
            <w:sz w:val="16"/>
            <w:szCs w:val="16"/>
          </w:rPr>
          <w:t>E</w:t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fldChar w:fldCharType="begin"/>
        </w:r>
        <w:r w:rsidRPr="0085386D">
          <w:rPr>
            <w:sz w:val="16"/>
            <w:szCs w:val="16"/>
          </w:rPr>
          <w:instrText xml:space="preserve"> PAGE   \* MERGEFORMAT </w:instrText>
        </w:r>
        <w:r w:rsidRPr="0085386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5386D">
          <w:rPr>
            <w:noProof/>
            <w:sz w:val="16"/>
            <w:szCs w:val="16"/>
          </w:rPr>
          <w:fldChar w:fldCharType="end"/>
        </w:r>
      </w:p>
    </w:sdtContent>
  </w:sdt>
  <w:p w:rsidR="00BF2BB1" w:rsidRPr="0085386D" w:rsidRDefault="00F02569">
    <w:pPr>
      <w:pStyle w:val="Foo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69"/>
    <w:rsid w:val="00973DC5"/>
    <w:rsid w:val="00E478A9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6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69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6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69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2017-09-27T13:54:00Z</dcterms:created>
  <dcterms:modified xsi:type="dcterms:W3CDTF">2017-09-27T13:55:00Z</dcterms:modified>
</cp:coreProperties>
</file>