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7E" w:rsidRPr="002A217E" w:rsidRDefault="002A217E" w:rsidP="002A217E">
      <w:pPr>
        <w:ind w:left="20"/>
        <w:rPr>
          <w:b/>
          <w:sz w:val="20"/>
          <w:szCs w:val="20"/>
        </w:rPr>
      </w:pPr>
      <w:r w:rsidRPr="002A217E">
        <w:rPr>
          <w:b/>
          <w:sz w:val="20"/>
          <w:szCs w:val="20"/>
        </w:rPr>
        <w:t>NATIONAL ASSEMBLY</w:t>
      </w:r>
    </w:p>
    <w:p w:rsidR="002A217E" w:rsidRPr="002A217E" w:rsidRDefault="002A217E" w:rsidP="002A217E">
      <w:pPr>
        <w:ind w:left="20"/>
        <w:rPr>
          <w:b/>
          <w:sz w:val="20"/>
          <w:szCs w:val="20"/>
        </w:rPr>
      </w:pPr>
      <w:r w:rsidRPr="002A217E">
        <w:rPr>
          <w:b/>
          <w:sz w:val="20"/>
          <w:szCs w:val="20"/>
        </w:rPr>
        <w:t>WRITTEN REPLY</w:t>
      </w:r>
    </w:p>
    <w:p w:rsidR="002A217E" w:rsidRPr="002A217E" w:rsidRDefault="002A217E" w:rsidP="002A217E">
      <w:pPr>
        <w:ind w:left="20"/>
        <w:rPr>
          <w:b/>
          <w:sz w:val="20"/>
          <w:szCs w:val="20"/>
        </w:rPr>
      </w:pPr>
      <w:r w:rsidRPr="002A217E">
        <w:rPr>
          <w:b/>
          <w:sz w:val="20"/>
          <w:szCs w:val="20"/>
        </w:rPr>
        <w:t>QUESTION 2648</w:t>
      </w:r>
    </w:p>
    <w:p w:rsidR="00CE029E" w:rsidRPr="002A217E" w:rsidRDefault="00CE029E" w:rsidP="002A217E">
      <w:pPr>
        <w:pStyle w:val="BodyText"/>
        <w:rPr>
          <w:rFonts w:ascii="Times New Roman"/>
          <w:sz w:val="20"/>
          <w:szCs w:val="20"/>
        </w:rPr>
      </w:pPr>
    </w:p>
    <w:p w:rsidR="00CE029E" w:rsidRPr="002A217E" w:rsidRDefault="00980FD2" w:rsidP="002A217E">
      <w:pPr>
        <w:pStyle w:val="Heading1"/>
        <w:spacing w:before="0"/>
        <w:ind w:left="100" w:right="1128"/>
        <w:rPr>
          <w:sz w:val="20"/>
          <w:szCs w:val="20"/>
        </w:rPr>
      </w:pPr>
      <w:r w:rsidRPr="002A217E">
        <w:rPr>
          <w:sz w:val="20"/>
          <w:szCs w:val="20"/>
          <w:u w:val="thick"/>
        </w:rPr>
        <w:t>DATE OF PUBLICATION OF INTERNAL QUESTION PAPER: 26/11/2021</w:t>
      </w:r>
      <w:r w:rsidRPr="002A217E">
        <w:rPr>
          <w:sz w:val="20"/>
          <w:szCs w:val="20"/>
        </w:rPr>
        <w:t xml:space="preserve"> </w:t>
      </w:r>
      <w:r w:rsidRPr="002A217E">
        <w:rPr>
          <w:sz w:val="20"/>
          <w:szCs w:val="20"/>
          <w:u w:val="thick"/>
        </w:rPr>
        <w:t>INTERNAL QUESTION PAPER: 29/2021</w:t>
      </w:r>
    </w:p>
    <w:p w:rsidR="00CE029E" w:rsidRPr="002A217E" w:rsidRDefault="00980FD2" w:rsidP="002A217E">
      <w:pPr>
        <w:ind w:left="820" w:hanging="720"/>
        <w:rPr>
          <w:b/>
          <w:sz w:val="20"/>
          <w:szCs w:val="20"/>
        </w:rPr>
      </w:pPr>
      <w:r w:rsidRPr="002A217E">
        <w:rPr>
          <w:b/>
          <w:sz w:val="20"/>
          <w:szCs w:val="20"/>
        </w:rPr>
        <w:t>2648. Ms A M Siwisa (EFF) to ask the Minister of Basic Education: to ask the Minister of Basic Education:</w:t>
      </w:r>
    </w:p>
    <w:p w:rsidR="00CE029E" w:rsidRPr="002A217E" w:rsidRDefault="00CE029E" w:rsidP="002A217E">
      <w:pPr>
        <w:pStyle w:val="BodyText"/>
        <w:rPr>
          <w:b/>
          <w:sz w:val="20"/>
          <w:szCs w:val="20"/>
        </w:rPr>
      </w:pPr>
    </w:p>
    <w:p w:rsidR="00CE029E" w:rsidRPr="002A217E" w:rsidRDefault="00980FD2" w:rsidP="002A217E">
      <w:pPr>
        <w:ind w:left="820"/>
        <w:rPr>
          <w:b/>
          <w:sz w:val="20"/>
          <w:szCs w:val="20"/>
        </w:rPr>
      </w:pPr>
      <w:r w:rsidRPr="002A217E">
        <w:rPr>
          <w:b/>
          <w:sz w:val="20"/>
          <w:szCs w:val="20"/>
        </w:rPr>
        <w:t>.</w:t>
      </w:r>
    </w:p>
    <w:p w:rsidR="00CE029E" w:rsidRPr="002A217E" w:rsidRDefault="00CE029E" w:rsidP="002A217E">
      <w:pPr>
        <w:pStyle w:val="BodyText"/>
        <w:rPr>
          <w:b/>
          <w:sz w:val="20"/>
          <w:szCs w:val="20"/>
        </w:rPr>
      </w:pPr>
    </w:p>
    <w:p w:rsidR="00CE029E" w:rsidRPr="002A217E" w:rsidRDefault="00980FD2" w:rsidP="002A217E">
      <w:pPr>
        <w:pStyle w:val="BodyText"/>
        <w:ind w:left="820" w:right="116"/>
        <w:rPr>
          <w:sz w:val="20"/>
          <w:szCs w:val="20"/>
        </w:rPr>
      </w:pPr>
      <w:r w:rsidRPr="002A217E">
        <w:rPr>
          <w:sz w:val="20"/>
          <w:szCs w:val="20"/>
        </w:rPr>
        <w:t>(a)</w:t>
      </w:r>
      <w:r w:rsidRPr="002A217E">
        <w:rPr>
          <w:spacing w:val="-10"/>
          <w:sz w:val="20"/>
          <w:szCs w:val="20"/>
        </w:rPr>
        <w:t xml:space="preserve"> </w:t>
      </w:r>
      <w:r w:rsidRPr="002A217E">
        <w:rPr>
          <w:sz w:val="20"/>
          <w:szCs w:val="20"/>
        </w:rPr>
        <w:t>What</w:t>
      </w:r>
      <w:r w:rsidRPr="002A217E">
        <w:rPr>
          <w:spacing w:val="-3"/>
          <w:sz w:val="20"/>
          <w:szCs w:val="20"/>
        </w:rPr>
        <w:t xml:space="preserve"> </w:t>
      </w:r>
      <w:r w:rsidRPr="002A217E">
        <w:rPr>
          <w:sz w:val="20"/>
          <w:szCs w:val="20"/>
        </w:rPr>
        <w:t>is</w:t>
      </w:r>
      <w:r w:rsidRPr="002A217E">
        <w:rPr>
          <w:spacing w:val="-5"/>
          <w:sz w:val="20"/>
          <w:szCs w:val="20"/>
        </w:rPr>
        <w:t xml:space="preserve"> </w:t>
      </w:r>
      <w:r w:rsidRPr="002A217E">
        <w:rPr>
          <w:sz w:val="20"/>
          <w:szCs w:val="20"/>
        </w:rPr>
        <w:t>the</w:t>
      </w:r>
      <w:r w:rsidRPr="002A217E">
        <w:rPr>
          <w:spacing w:val="-3"/>
          <w:sz w:val="20"/>
          <w:szCs w:val="20"/>
        </w:rPr>
        <w:t xml:space="preserve"> </w:t>
      </w:r>
      <w:r w:rsidRPr="002A217E">
        <w:rPr>
          <w:sz w:val="20"/>
          <w:szCs w:val="20"/>
        </w:rPr>
        <w:t>total</w:t>
      </w:r>
      <w:r w:rsidRPr="002A217E">
        <w:rPr>
          <w:spacing w:val="-4"/>
          <w:sz w:val="20"/>
          <w:szCs w:val="20"/>
        </w:rPr>
        <w:t xml:space="preserve"> </w:t>
      </w:r>
      <w:r w:rsidRPr="002A217E">
        <w:rPr>
          <w:sz w:val="20"/>
          <w:szCs w:val="20"/>
        </w:rPr>
        <w:t>number</w:t>
      </w:r>
      <w:r w:rsidRPr="002A217E">
        <w:rPr>
          <w:spacing w:val="-7"/>
          <w:sz w:val="20"/>
          <w:szCs w:val="20"/>
        </w:rPr>
        <w:t xml:space="preserve"> </w:t>
      </w:r>
      <w:r w:rsidRPr="002A217E">
        <w:rPr>
          <w:sz w:val="20"/>
          <w:szCs w:val="20"/>
        </w:rPr>
        <w:t>of</w:t>
      </w:r>
      <w:r w:rsidRPr="002A217E">
        <w:rPr>
          <w:spacing w:val="-1"/>
          <w:sz w:val="20"/>
          <w:szCs w:val="20"/>
        </w:rPr>
        <w:t xml:space="preserve"> </w:t>
      </w:r>
      <w:r w:rsidRPr="002A217E">
        <w:rPr>
          <w:sz w:val="20"/>
          <w:szCs w:val="20"/>
        </w:rPr>
        <w:t>young</w:t>
      </w:r>
      <w:r w:rsidRPr="002A217E">
        <w:rPr>
          <w:spacing w:val="-5"/>
          <w:sz w:val="20"/>
          <w:szCs w:val="20"/>
        </w:rPr>
        <w:t xml:space="preserve"> </w:t>
      </w:r>
      <w:r w:rsidRPr="002A217E">
        <w:rPr>
          <w:sz w:val="20"/>
          <w:szCs w:val="20"/>
        </w:rPr>
        <w:t>persons</w:t>
      </w:r>
      <w:r w:rsidRPr="002A217E">
        <w:rPr>
          <w:spacing w:val="-7"/>
          <w:sz w:val="20"/>
          <w:szCs w:val="20"/>
        </w:rPr>
        <w:t xml:space="preserve"> </w:t>
      </w:r>
      <w:r w:rsidRPr="002A217E">
        <w:rPr>
          <w:sz w:val="20"/>
          <w:szCs w:val="20"/>
        </w:rPr>
        <w:t>who</w:t>
      </w:r>
      <w:r w:rsidRPr="002A217E">
        <w:rPr>
          <w:spacing w:val="2"/>
          <w:sz w:val="20"/>
          <w:szCs w:val="20"/>
        </w:rPr>
        <w:t xml:space="preserve"> </w:t>
      </w:r>
      <w:r w:rsidRPr="002A217E">
        <w:rPr>
          <w:sz w:val="20"/>
          <w:szCs w:val="20"/>
        </w:rPr>
        <w:t>have</w:t>
      </w:r>
      <w:r w:rsidRPr="002A217E">
        <w:rPr>
          <w:spacing w:val="-4"/>
          <w:sz w:val="20"/>
          <w:szCs w:val="20"/>
        </w:rPr>
        <w:t xml:space="preserve"> </w:t>
      </w:r>
      <w:r w:rsidRPr="002A217E">
        <w:rPr>
          <w:sz w:val="20"/>
          <w:szCs w:val="20"/>
        </w:rPr>
        <w:t>dropped</w:t>
      </w:r>
      <w:r w:rsidRPr="002A217E">
        <w:rPr>
          <w:spacing w:val="-5"/>
          <w:sz w:val="20"/>
          <w:szCs w:val="20"/>
        </w:rPr>
        <w:t xml:space="preserve"> </w:t>
      </w:r>
      <w:r w:rsidRPr="002A217E">
        <w:rPr>
          <w:sz w:val="20"/>
          <w:szCs w:val="20"/>
        </w:rPr>
        <w:t>out</w:t>
      </w:r>
      <w:r w:rsidRPr="002A217E">
        <w:rPr>
          <w:spacing w:val="-5"/>
          <w:sz w:val="20"/>
          <w:szCs w:val="20"/>
        </w:rPr>
        <w:t xml:space="preserve"> </w:t>
      </w:r>
      <w:r w:rsidRPr="002A217E">
        <w:rPr>
          <w:sz w:val="20"/>
          <w:szCs w:val="20"/>
        </w:rPr>
        <w:t>of</w:t>
      </w:r>
      <w:r w:rsidRPr="002A217E">
        <w:rPr>
          <w:spacing w:val="-2"/>
          <w:sz w:val="20"/>
          <w:szCs w:val="20"/>
        </w:rPr>
        <w:t xml:space="preserve"> </w:t>
      </w:r>
      <w:r w:rsidRPr="002A217E">
        <w:rPr>
          <w:sz w:val="20"/>
          <w:szCs w:val="20"/>
        </w:rPr>
        <w:t>school over</w:t>
      </w:r>
      <w:r w:rsidRPr="002A217E">
        <w:rPr>
          <w:spacing w:val="-5"/>
          <w:sz w:val="20"/>
          <w:szCs w:val="20"/>
        </w:rPr>
        <w:t xml:space="preserve"> </w:t>
      </w:r>
      <w:r w:rsidRPr="002A217E">
        <w:rPr>
          <w:sz w:val="20"/>
          <w:szCs w:val="20"/>
        </w:rPr>
        <w:t>the</w:t>
      </w:r>
      <w:r w:rsidRPr="002A217E">
        <w:rPr>
          <w:spacing w:val="-3"/>
          <w:sz w:val="20"/>
          <w:szCs w:val="20"/>
        </w:rPr>
        <w:t xml:space="preserve"> </w:t>
      </w:r>
      <w:r w:rsidRPr="002A217E">
        <w:rPr>
          <w:sz w:val="20"/>
          <w:szCs w:val="20"/>
        </w:rPr>
        <w:t>past</w:t>
      </w:r>
      <w:r w:rsidRPr="002A217E">
        <w:rPr>
          <w:spacing w:val="-3"/>
          <w:sz w:val="20"/>
          <w:szCs w:val="20"/>
        </w:rPr>
        <w:t xml:space="preserve"> </w:t>
      </w:r>
      <w:r w:rsidRPr="002A217E">
        <w:rPr>
          <w:sz w:val="20"/>
          <w:szCs w:val="20"/>
        </w:rPr>
        <w:t>20</w:t>
      </w:r>
      <w:r w:rsidRPr="002A217E">
        <w:rPr>
          <w:spacing w:val="-3"/>
          <w:sz w:val="20"/>
          <w:szCs w:val="20"/>
        </w:rPr>
        <w:t xml:space="preserve"> </w:t>
      </w:r>
      <w:r w:rsidRPr="002A217E">
        <w:rPr>
          <w:sz w:val="20"/>
          <w:szCs w:val="20"/>
        </w:rPr>
        <w:t>years,</w:t>
      </w:r>
      <w:r w:rsidRPr="002A217E">
        <w:rPr>
          <w:spacing w:val="-7"/>
          <w:sz w:val="20"/>
          <w:szCs w:val="20"/>
        </w:rPr>
        <w:t xml:space="preserve"> </w:t>
      </w:r>
      <w:r w:rsidRPr="002A217E">
        <w:rPr>
          <w:sz w:val="20"/>
          <w:szCs w:val="20"/>
        </w:rPr>
        <w:t>(b)</w:t>
      </w:r>
      <w:r w:rsidRPr="002A217E">
        <w:rPr>
          <w:spacing w:val="-4"/>
          <w:sz w:val="20"/>
          <w:szCs w:val="20"/>
        </w:rPr>
        <w:t xml:space="preserve"> </w:t>
      </w:r>
      <w:r w:rsidRPr="002A217E">
        <w:rPr>
          <w:sz w:val="20"/>
          <w:szCs w:val="20"/>
        </w:rPr>
        <w:t>at</w:t>
      </w:r>
      <w:r w:rsidRPr="002A217E">
        <w:rPr>
          <w:spacing w:val="-1"/>
          <w:sz w:val="20"/>
          <w:szCs w:val="20"/>
        </w:rPr>
        <w:t xml:space="preserve"> </w:t>
      </w:r>
      <w:r w:rsidRPr="002A217E">
        <w:rPr>
          <w:sz w:val="20"/>
          <w:szCs w:val="20"/>
        </w:rPr>
        <w:t>which</w:t>
      </w:r>
      <w:r w:rsidRPr="002A217E">
        <w:rPr>
          <w:spacing w:val="-3"/>
          <w:sz w:val="20"/>
          <w:szCs w:val="20"/>
        </w:rPr>
        <w:t xml:space="preserve"> </w:t>
      </w:r>
      <w:r w:rsidRPr="002A217E">
        <w:rPr>
          <w:sz w:val="20"/>
          <w:szCs w:val="20"/>
        </w:rPr>
        <w:t>grade</w:t>
      </w:r>
      <w:r w:rsidRPr="002A217E">
        <w:rPr>
          <w:spacing w:val="-3"/>
          <w:sz w:val="20"/>
          <w:szCs w:val="20"/>
        </w:rPr>
        <w:t xml:space="preserve"> </w:t>
      </w:r>
      <w:r w:rsidRPr="002A217E">
        <w:rPr>
          <w:sz w:val="20"/>
          <w:szCs w:val="20"/>
        </w:rPr>
        <w:t>do</w:t>
      </w:r>
      <w:r w:rsidRPr="002A217E">
        <w:rPr>
          <w:spacing w:val="-4"/>
          <w:sz w:val="20"/>
          <w:szCs w:val="20"/>
        </w:rPr>
        <w:t xml:space="preserve"> </w:t>
      </w:r>
      <w:r w:rsidRPr="002A217E">
        <w:rPr>
          <w:sz w:val="20"/>
          <w:szCs w:val="20"/>
        </w:rPr>
        <w:t>most</w:t>
      </w:r>
      <w:r w:rsidRPr="002A217E">
        <w:rPr>
          <w:spacing w:val="-3"/>
          <w:sz w:val="20"/>
          <w:szCs w:val="20"/>
        </w:rPr>
        <w:t xml:space="preserve"> </w:t>
      </w:r>
      <w:r w:rsidRPr="002A217E">
        <w:rPr>
          <w:sz w:val="20"/>
          <w:szCs w:val="20"/>
        </w:rPr>
        <w:t>dropouts</w:t>
      </w:r>
      <w:r w:rsidRPr="002A217E">
        <w:rPr>
          <w:spacing w:val="-3"/>
          <w:sz w:val="20"/>
          <w:szCs w:val="20"/>
        </w:rPr>
        <w:t xml:space="preserve"> </w:t>
      </w:r>
      <w:r w:rsidRPr="002A217E">
        <w:rPr>
          <w:sz w:val="20"/>
          <w:szCs w:val="20"/>
        </w:rPr>
        <w:t>take</w:t>
      </w:r>
      <w:r w:rsidRPr="002A217E">
        <w:rPr>
          <w:spacing w:val="-3"/>
          <w:sz w:val="20"/>
          <w:szCs w:val="20"/>
        </w:rPr>
        <w:t xml:space="preserve"> </w:t>
      </w:r>
      <w:r w:rsidRPr="002A217E">
        <w:rPr>
          <w:sz w:val="20"/>
          <w:szCs w:val="20"/>
        </w:rPr>
        <w:t>place</w:t>
      </w:r>
      <w:r w:rsidRPr="002A217E">
        <w:rPr>
          <w:spacing w:val="-4"/>
          <w:sz w:val="20"/>
          <w:szCs w:val="20"/>
        </w:rPr>
        <w:t xml:space="preserve"> </w:t>
      </w:r>
      <w:r w:rsidRPr="002A217E">
        <w:rPr>
          <w:sz w:val="20"/>
          <w:szCs w:val="20"/>
        </w:rPr>
        <w:t>and</w:t>
      </w:r>
      <w:r w:rsidRPr="002A217E">
        <w:rPr>
          <w:spacing w:val="-3"/>
          <w:sz w:val="20"/>
          <w:szCs w:val="20"/>
        </w:rPr>
        <w:t xml:space="preserve"> </w:t>
      </w:r>
      <w:r w:rsidRPr="002A217E">
        <w:rPr>
          <w:sz w:val="20"/>
          <w:szCs w:val="20"/>
        </w:rPr>
        <w:t>(c) what interventions has her department made to curb the rate of school dropouts?</w:t>
      </w:r>
    </w:p>
    <w:p w:rsidR="00CE029E" w:rsidRPr="002A217E" w:rsidRDefault="00CE029E" w:rsidP="002A217E">
      <w:pPr>
        <w:pStyle w:val="BodyText"/>
        <w:rPr>
          <w:sz w:val="20"/>
          <w:szCs w:val="20"/>
        </w:rPr>
      </w:pPr>
    </w:p>
    <w:p w:rsidR="00CE029E" w:rsidRPr="002A217E" w:rsidRDefault="00980FD2" w:rsidP="002A217E">
      <w:pPr>
        <w:pStyle w:val="Heading1"/>
        <w:spacing w:before="0"/>
        <w:ind w:left="100"/>
        <w:rPr>
          <w:sz w:val="20"/>
          <w:szCs w:val="20"/>
        </w:rPr>
      </w:pPr>
      <w:r w:rsidRPr="002A217E">
        <w:rPr>
          <w:sz w:val="20"/>
          <w:szCs w:val="20"/>
        </w:rPr>
        <w:t>Response</w:t>
      </w:r>
    </w:p>
    <w:p w:rsidR="00CE029E" w:rsidRPr="002A217E" w:rsidRDefault="00CE029E" w:rsidP="002A217E">
      <w:pPr>
        <w:pStyle w:val="BodyText"/>
        <w:rPr>
          <w:b/>
          <w:sz w:val="20"/>
          <w:szCs w:val="20"/>
        </w:rPr>
      </w:pPr>
    </w:p>
    <w:p w:rsidR="00CE029E" w:rsidRPr="002A217E" w:rsidRDefault="00980FD2" w:rsidP="002A217E">
      <w:pPr>
        <w:pStyle w:val="ListParagraph"/>
        <w:numPr>
          <w:ilvl w:val="0"/>
          <w:numId w:val="1"/>
        </w:numPr>
        <w:tabs>
          <w:tab w:val="left" w:pos="1541"/>
        </w:tabs>
        <w:ind w:firstLine="0"/>
        <w:rPr>
          <w:sz w:val="20"/>
          <w:szCs w:val="20"/>
        </w:rPr>
      </w:pPr>
      <w:r w:rsidRPr="002A217E">
        <w:rPr>
          <w:sz w:val="20"/>
          <w:szCs w:val="20"/>
        </w:rPr>
        <w:t>While dropping out is a matter that the Department of Basic Education monitors closely, it would be difficult to provide a response to question (a) for two reasons. Firstly, how the Department has monitored dropping out over the years, has changed as metho</w:t>
      </w:r>
      <w:r w:rsidRPr="002A217E">
        <w:rPr>
          <w:sz w:val="20"/>
          <w:szCs w:val="20"/>
        </w:rPr>
        <w:t xml:space="preserve">dologies and data have improved; meaning </w:t>
      </w:r>
      <w:r w:rsidRPr="002A217E">
        <w:rPr>
          <w:spacing w:val="2"/>
          <w:sz w:val="20"/>
          <w:szCs w:val="20"/>
        </w:rPr>
        <w:t xml:space="preserve">that </w:t>
      </w:r>
      <w:r w:rsidRPr="002A217E">
        <w:rPr>
          <w:sz w:val="20"/>
          <w:szCs w:val="20"/>
        </w:rPr>
        <w:t>there is no comparable number for each of twenty years which can simply be added together. It should be pointed out that dropping out is seldom, if ever monitored in the manner implied by the question. Secondly</w:t>
      </w:r>
      <w:r w:rsidRPr="002A217E">
        <w:rPr>
          <w:sz w:val="20"/>
          <w:szCs w:val="20"/>
        </w:rPr>
        <w:t>, even if an attempt were to be made to standardise values over time, this would have to be in response to a question that defines clearly who is a dropout. There is no universally accepted definition of this. Young people, who leave school before obtainin</w:t>
      </w:r>
      <w:r w:rsidRPr="002A217E">
        <w:rPr>
          <w:sz w:val="20"/>
          <w:szCs w:val="20"/>
        </w:rPr>
        <w:t>g</w:t>
      </w:r>
      <w:r w:rsidRPr="002A217E">
        <w:rPr>
          <w:spacing w:val="-9"/>
          <w:sz w:val="20"/>
          <w:szCs w:val="20"/>
        </w:rPr>
        <w:t xml:space="preserve"> </w:t>
      </w:r>
      <w:r w:rsidRPr="002A217E">
        <w:rPr>
          <w:sz w:val="20"/>
          <w:szCs w:val="20"/>
        </w:rPr>
        <w:t>the</w:t>
      </w:r>
      <w:r w:rsidRPr="002A217E">
        <w:rPr>
          <w:spacing w:val="-8"/>
          <w:sz w:val="20"/>
          <w:szCs w:val="20"/>
        </w:rPr>
        <w:t xml:space="preserve"> </w:t>
      </w:r>
      <w:r w:rsidRPr="002A217E">
        <w:rPr>
          <w:sz w:val="20"/>
          <w:szCs w:val="20"/>
        </w:rPr>
        <w:t>‘Matric’</w:t>
      </w:r>
      <w:r w:rsidRPr="002A217E">
        <w:rPr>
          <w:spacing w:val="-8"/>
          <w:sz w:val="20"/>
          <w:szCs w:val="20"/>
        </w:rPr>
        <w:t xml:space="preserve"> </w:t>
      </w:r>
      <w:r w:rsidRPr="002A217E">
        <w:rPr>
          <w:sz w:val="20"/>
          <w:szCs w:val="20"/>
        </w:rPr>
        <w:t>to</w:t>
      </w:r>
      <w:r w:rsidRPr="002A217E">
        <w:rPr>
          <w:spacing w:val="-9"/>
          <w:sz w:val="20"/>
          <w:szCs w:val="20"/>
        </w:rPr>
        <w:t xml:space="preserve"> </w:t>
      </w:r>
      <w:r w:rsidRPr="002A217E">
        <w:rPr>
          <w:sz w:val="20"/>
          <w:szCs w:val="20"/>
        </w:rPr>
        <w:t>find</w:t>
      </w:r>
      <w:r w:rsidRPr="002A217E">
        <w:rPr>
          <w:spacing w:val="-8"/>
          <w:sz w:val="20"/>
          <w:szCs w:val="20"/>
        </w:rPr>
        <w:t xml:space="preserve"> </w:t>
      </w:r>
      <w:r w:rsidRPr="002A217E">
        <w:rPr>
          <w:sz w:val="20"/>
          <w:szCs w:val="20"/>
        </w:rPr>
        <w:t>work,</w:t>
      </w:r>
      <w:r w:rsidRPr="002A217E">
        <w:rPr>
          <w:spacing w:val="-8"/>
          <w:sz w:val="20"/>
          <w:szCs w:val="20"/>
        </w:rPr>
        <w:t xml:space="preserve"> </w:t>
      </w:r>
      <w:r w:rsidRPr="002A217E">
        <w:rPr>
          <w:sz w:val="20"/>
          <w:szCs w:val="20"/>
        </w:rPr>
        <w:t>or</w:t>
      </w:r>
      <w:r w:rsidRPr="002A217E">
        <w:rPr>
          <w:spacing w:val="-9"/>
          <w:sz w:val="20"/>
          <w:szCs w:val="20"/>
        </w:rPr>
        <w:t xml:space="preserve"> </w:t>
      </w:r>
      <w:r w:rsidRPr="002A217E">
        <w:rPr>
          <w:sz w:val="20"/>
          <w:szCs w:val="20"/>
        </w:rPr>
        <w:t>to</w:t>
      </w:r>
      <w:r w:rsidRPr="002A217E">
        <w:rPr>
          <w:spacing w:val="-7"/>
          <w:sz w:val="20"/>
          <w:szCs w:val="20"/>
        </w:rPr>
        <w:t xml:space="preserve"> </w:t>
      </w:r>
      <w:r w:rsidRPr="002A217E">
        <w:rPr>
          <w:sz w:val="20"/>
          <w:szCs w:val="20"/>
        </w:rPr>
        <w:t>further</w:t>
      </w:r>
      <w:r w:rsidRPr="002A217E">
        <w:rPr>
          <w:spacing w:val="-10"/>
          <w:sz w:val="20"/>
          <w:szCs w:val="20"/>
        </w:rPr>
        <w:t xml:space="preserve"> </w:t>
      </w:r>
      <w:r w:rsidRPr="002A217E">
        <w:rPr>
          <w:sz w:val="20"/>
          <w:szCs w:val="20"/>
        </w:rPr>
        <w:t>studies</w:t>
      </w:r>
      <w:r w:rsidRPr="002A217E">
        <w:rPr>
          <w:spacing w:val="-9"/>
          <w:sz w:val="20"/>
          <w:szCs w:val="20"/>
        </w:rPr>
        <w:t xml:space="preserve"> </w:t>
      </w:r>
      <w:r w:rsidRPr="002A217E">
        <w:rPr>
          <w:sz w:val="20"/>
          <w:szCs w:val="20"/>
        </w:rPr>
        <w:t>somewhere</w:t>
      </w:r>
      <w:r w:rsidRPr="002A217E">
        <w:rPr>
          <w:spacing w:val="-8"/>
          <w:sz w:val="20"/>
          <w:szCs w:val="20"/>
        </w:rPr>
        <w:t xml:space="preserve"> </w:t>
      </w:r>
      <w:r w:rsidRPr="002A217E">
        <w:rPr>
          <w:sz w:val="20"/>
          <w:szCs w:val="20"/>
        </w:rPr>
        <w:t>else,</w:t>
      </w:r>
      <w:r w:rsidRPr="002A217E">
        <w:rPr>
          <w:spacing w:val="-7"/>
          <w:sz w:val="20"/>
          <w:szCs w:val="20"/>
        </w:rPr>
        <w:t xml:space="preserve"> </w:t>
      </w:r>
      <w:r w:rsidRPr="002A217E">
        <w:rPr>
          <w:sz w:val="20"/>
          <w:szCs w:val="20"/>
        </w:rPr>
        <w:t>are</w:t>
      </w:r>
      <w:r w:rsidRPr="002A217E">
        <w:rPr>
          <w:spacing w:val="-8"/>
          <w:sz w:val="20"/>
          <w:szCs w:val="20"/>
        </w:rPr>
        <w:t xml:space="preserve"> </w:t>
      </w:r>
      <w:r w:rsidRPr="002A217E">
        <w:rPr>
          <w:sz w:val="20"/>
          <w:szCs w:val="20"/>
        </w:rPr>
        <w:t>not easily identified or</w:t>
      </w:r>
      <w:r w:rsidRPr="002A217E">
        <w:rPr>
          <w:spacing w:val="-5"/>
          <w:sz w:val="20"/>
          <w:szCs w:val="20"/>
        </w:rPr>
        <w:t xml:space="preserve"> </w:t>
      </w:r>
      <w:r w:rsidRPr="002A217E">
        <w:rPr>
          <w:sz w:val="20"/>
          <w:szCs w:val="20"/>
        </w:rPr>
        <w:t>defined.</w:t>
      </w:r>
    </w:p>
    <w:p w:rsidR="00CE029E" w:rsidRPr="002A217E" w:rsidRDefault="00CE029E" w:rsidP="002A217E">
      <w:pPr>
        <w:pStyle w:val="BodyText"/>
        <w:rPr>
          <w:sz w:val="20"/>
          <w:szCs w:val="20"/>
        </w:rPr>
      </w:pPr>
    </w:p>
    <w:p w:rsidR="00CE029E" w:rsidRPr="002A217E" w:rsidRDefault="00CE029E" w:rsidP="002A217E">
      <w:pPr>
        <w:pStyle w:val="BodyText"/>
        <w:rPr>
          <w:sz w:val="20"/>
          <w:szCs w:val="20"/>
        </w:rPr>
      </w:pPr>
    </w:p>
    <w:p w:rsidR="00CE029E" w:rsidRPr="002A217E" w:rsidRDefault="00CE029E" w:rsidP="002A217E">
      <w:pPr>
        <w:pStyle w:val="BodyText"/>
        <w:rPr>
          <w:sz w:val="20"/>
          <w:szCs w:val="20"/>
        </w:rPr>
      </w:pPr>
    </w:p>
    <w:p w:rsidR="00CE029E" w:rsidRPr="002A217E" w:rsidRDefault="00980FD2" w:rsidP="002A217E">
      <w:pPr>
        <w:pStyle w:val="BodyText"/>
        <w:ind w:left="820" w:right="113"/>
        <w:rPr>
          <w:sz w:val="20"/>
          <w:szCs w:val="20"/>
        </w:rPr>
      </w:pPr>
      <w:r w:rsidRPr="002A217E">
        <w:rPr>
          <w:sz w:val="20"/>
          <w:szCs w:val="20"/>
        </w:rPr>
        <w:t>It should be clarified that the Department takes the matter of dropping out very seriously, and reports transparently and frequently on this. The an</w:t>
      </w:r>
      <w:r w:rsidRPr="002A217E">
        <w:rPr>
          <w:sz w:val="20"/>
          <w:szCs w:val="20"/>
        </w:rPr>
        <w:t>nual report on the National Senior Certificate (NSC) examinations, available on the Department’s website, provides comprehensive analysis of who obtains and who does not obtain the National Senior Certificate (NSC). For example, the report for the 2020 exa</w:t>
      </w:r>
      <w:r w:rsidRPr="002A217E">
        <w:rPr>
          <w:sz w:val="20"/>
          <w:szCs w:val="20"/>
        </w:rPr>
        <w:t>minations indicates that ‘the percentage of youths successfully completing Grade 12, has increased from about 45% in 2005, to around 57% in 2019’. The 57% implies that around 420 000 in one youth age cohort, do not obtain the NSC. Statistics South Africa d</w:t>
      </w:r>
      <w:r w:rsidRPr="002A217E">
        <w:rPr>
          <w:sz w:val="20"/>
          <w:szCs w:val="20"/>
        </w:rPr>
        <w:t xml:space="preserve">ata indicate that a further 3%, do not obtain the NSC; but do obtain some other national qualification outside the schooling system, for instance at a college. (This is explained in, for instance, the Department’s </w:t>
      </w:r>
      <w:r w:rsidRPr="002A217E">
        <w:rPr>
          <w:i/>
          <w:sz w:val="20"/>
          <w:szCs w:val="20"/>
        </w:rPr>
        <w:t>Action Plan to 2024.</w:t>
      </w:r>
      <w:r w:rsidRPr="002A217E">
        <w:rPr>
          <w:sz w:val="20"/>
          <w:szCs w:val="20"/>
        </w:rPr>
        <w:t>)</w:t>
      </w:r>
    </w:p>
    <w:p w:rsidR="00CE029E" w:rsidRPr="002A217E" w:rsidRDefault="00CE029E" w:rsidP="002A217E">
      <w:pPr>
        <w:pStyle w:val="BodyText"/>
        <w:rPr>
          <w:sz w:val="20"/>
          <w:szCs w:val="20"/>
        </w:rPr>
      </w:pPr>
    </w:p>
    <w:p w:rsidR="00CE029E" w:rsidRPr="002A217E" w:rsidRDefault="00980FD2" w:rsidP="002A217E">
      <w:pPr>
        <w:pStyle w:val="BodyText"/>
        <w:ind w:left="820" w:right="114"/>
        <w:rPr>
          <w:sz w:val="20"/>
          <w:szCs w:val="20"/>
        </w:rPr>
      </w:pPr>
      <w:r w:rsidRPr="002A217E">
        <w:rPr>
          <w:sz w:val="20"/>
          <w:szCs w:val="20"/>
        </w:rPr>
        <w:t>The 2020 NSC examinations report, moreover makes the important point that successful</w:t>
      </w:r>
      <w:r w:rsidRPr="002A217E">
        <w:rPr>
          <w:spacing w:val="-11"/>
          <w:sz w:val="20"/>
          <w:szCs w:val="20"/>
        </w:rPr>
        <w:t xml:space="preserve"> </w:t>
      </w:r>
      <w:r w:rsidRPr="002A217E">
        <w:rPr>
          <w:sz w:val="20"/>
          <w:szCs w:val="20"/>
        </w:rPr>
        <w:t>completion</w:t>
      </w:r>
      <w:r w:rsidRPr="002A217E">
        <w:rPr>
          <w:spacing w:val="-11"/>
          <w:sz w:val="20"/>
          <w:szCs w:val="20"/>
        </w:rPr>
        <w:t xml:space="preserve"> </w:t>
      </w:r>
      <w:r w:rsidRPr="002A217E">
        <w:rPr>
          <w:sz w:val="20"/>
          <w:szCs w:val="20"/>
        </w:rPr>
        <w:t>of</w:t>
      </w:r>
      <w:r w:rsidRPr="002A217E">
        <w:rPr>
          <w:spacing w:val="-7"/>
          <w:sz w:val="20"/>
          <w:szCs w:val="20"/>
        </w:rPr>
        <w:t xml:space="preserve"> </w:t>
      </w:r>
      <w:r w:rsidRPr="002A217E">
        <w:rPr>
          <w:sz w:val="20"/>
          <w:szCs w:val="20"/>
        </w:rPr>
        <w:t>twelve</w:t>
      </w:r>
      <w:r w:rsidRPr="002A217E">
        <w:rPr>
          <w:spacing w:val="-6"/>
          <w:sz w:val="20"/>
          <w:szCs w:val="20"/>
        </w:rPr>
        <w:t xml:space="preserve"> </w:t>
      </w:r>
      <w:r w:rsidRPr="002A217E">
        <w:rPr>
          <w:sz w:val="20"/>
          <w:szCs w:val="20"/>
        </w:rPr>
        <w:t>years</w:t>
      </w:r>
      <w:r w:rsidRPr="002A217E">
        <w:rPr>
          <w:spacing w:val="-8"/>
          <w:sz w:val="20"/>
          <w:szCs w:val="20"/>
        </w:rPr>
        <w:t xml:space="preserve"> </w:t>
      </w:r>
      <w:r w:rsidRPr="002A217E">
        <w:rPr>
          <w:sz w:val="20"/>
          <w:szCs w:val="20"/>
        </w:rPr>
        <w:t>of</w:t>
      </w:r>
      <w:r w:rsidRPr="002A217E">
        <w:rPr>
          <w:spacing w:val="-6"/>
          <w:sz w:val="20"/>
          <w:szCs w:val="20"/>
        </w:rPr>
        <w:t xml:space="preserve"> </w:t>
      </w:r>
      <w:r w:rsidRPr="002A217E">
        <w:rPr>
          <w:sz w:val="20"/>
          <w:szCs w:val="20"/>
        </w:rPr>
        <w:t>education</w:t>
      </w:r>
      <w:r w:rsidRPr="002A217E">
        <w:rPr>
          <w:spacing w:val="-8"/>
          <w:sz w:val="20"/>
          <w:szCs w:val="20"/>
        </w:rPr>
        <w:t xml:space="preserve"> </w:t>
      </w:r>
      <w:r w:rsidRPr="002A217E">
        <w:rPr>
          <w:sz w:val="20"/>
          <w:szCs w:val="20"/>
        </w:rPr>
        <w:t>in</w:t>
      </w:r>
      <w:r w:rsidRPr="002A217E">
        <w:rPr>
          <w:spacing w:val="-9"/>
          <w:sz w:val="20"/>
          <w:szCs w:val="20"/>
        </w:rPr>
        <w:t xml:space="preserve"> </w:t>
      </w:r>
      <w:r w:rsidRPr="002A217E">
        <w:rPr>
          <w:sz w:val="20"/>
          <w:szCs w:val="20"/>
        </w:rPr>
        <w:t>South</w:t>
      </w:r>
      <w:r w:rsidRPr="002A217E">
        <w:rPr>
          <w:spacing w:val="-9"/>
          <w:sz w:val="20"/>
          <w:szCs w:val="20"/>
        </w:rPr>
        <w:t xml:space="preserve"> </w:t>
      </w:r>
      <w:r w:rsidRPr="002A217E">
        <w:rPr>
          <w:sz w:val="20"/>
          <w:szCs w:val="20"/>
        </w:rPr>
        <w:t>Africa</w:t>
      </w:r>
      <w:r w:rsidRPr="002A217E">
        <w:rPr>
          <w:spacing w:val="-8"/>
          <w:sz w:val="20"/>
          <w:szCs w:val="20"/>
        </w:rPr>
        <w:t xml:space="preserve"> </w:t>
      </w:r>
      <w:r w:rsidRPr="002A217E">
        <w:rPr>
          <w:sz w:val="20"/>
          <w:szCs w:val="20"/>
        </w:rPr>
        <w:t>is</w:t>
      </w:r>
      <w:r w:rsidRPr="002A217E">
        <w:rPr>
          <w:spacing w:val="-12"/>
          <w:sz w:val="20"/>
          <w:szCs w:val="20"/>
        </w:rPr>
        <w:t xml:space="preserve"> </w:t>
      </w:r>
      <w:r w:rsidRPr="002A217E">
        <w:rPr>
          <w:sz w:val="20"/>
          <w:szCs w:val="20"/>
        </w:rPr>
        <w:t>roughly</w:t>
      </w:r>
      <w:r w:rsidRPr="002A217E">
        <w:rPr>
          <w:spacing w:val="-10"/>
          <w:sz w:val="20"/>
          <w:szCs w:val="20"/>
        </w:rPr>
        <w:t xml:space="preserve"> </w:t>
      </w:r>
      <w:r w:rsidRPr="002A217E">
        <w:rPr>
          <w:sz w:val="20"/>
          <w:szCs w:val="20"/>
        </w:rPr>
        <w:t>to similar to that found in other middle income countries. The key point is that the situation is improv</w:t>
      </w:r>
      <w:r w:rsidRPr="002A217E">
        <w:rPr>
          <w:sz w:val="20"/>
          <w:szCs w:val="20"/>
        </w:rPr>
        <w:t>ing in South Africa. A growing percentage of young South Africans, have been obtaining the NSC, and the NSC with a Bachelors-level pass in</w:t>
      </w:r>
      <w:r w:rsidRPr="002A217E">
        <w:rPr>
          <w:spacing w:val="-3"/>
          <w:sz w:val="20"/>
          <w:szCs w:val="20"/>
        </w:rPr>
        <w:t xml:space="preserve"> </w:t>
      </w:r>
      <w:r w:rsidRPr="002A217E">
        <w:rPr>
          <w:sz w:val="20"/>
          <w:szCs w:val="20"/>
        </w:rPr>
        <w:t>particular.</w:t>
      </w:r>
    </w:p>
    <w:p w:rsidR="00CE029E" w:rsidRPr="002A217E" w:rsidRDefault="00CE029E" w:rsidP="002A217E">
      <w:pPr>
        <w:pStyle w:val="BodyText"/>
        <w:rPr>
          <w:sz w:val="20"/>
          <w:szCs w:val="20"/>
        </w:rPr>
      </w:pPr>
    </w:p>
    <w:p w:rsidR="00CE029E" w:rsidRPr="002A217E" w:rsidRDefault="00980FD2" w:rsidP="002A217E">
      <w:pPr>
        <w:pStyle w:val="ListParagraph"/>
        <w:numPr>
          <w:ilvl w:val="0"/>
          <w:numId w:val="1"/>
        </w:numPr>
        <w:tabs>
          <w:tab w:val="left" w:pos="1541"/>
        </w:tabs>
        <w:ind w:right="122" w:firstLine="0"/>
        <w:rPr>
          <w:sz w:val="20"/>
          <w:szCs w:val="20"/>
        </w:rPr>
      </w:pPr>
      <w:r w:rsidRPr="002A217E">
        <w:rPr>
          <w:sz w:val="20"/>
          <w:szCs w:val="20"/>
        </w:rPr>
        <w:t>Most dropping out, occurs between Grade 10 and Grade 11, and between Grade 11 and Grade 12. Figures in this regard appear in the 2020 NSC report.</w:t>
      </w:r>
    </w:p>
    <w:p w:rsidR="00CE029E" w:rsidRPr="002A217E" w:rsidRDefault="00CE029E" w:rsidP="002A217E">
      <w:pPr>
        <w:pStyle w:val="BodyText"/>
        <w:rPr>
          <w:sz w:val="20"/>
          <w:szCs w:val="20"/>
        </w:rPr>
      </w:pPr>
    </w:p>
    <w:p w:rsidR="00CE029E" w:rsidRPr="002A217E" w:rsidRDefault="00CE029E" w:rsidP="002A217E">
      <w:pPr>
        <w:pStyle w:val="BodyText"/>
        <w:rPr>
          <w:sz w:val="20"/>
          <w:szCs w:val="20"/>
        </w:rPr>
      </w:pPr>
    </w:p>
    <w:p w:rsidR="00CE029E" w:rsidRPr="002A217E" w:rsidRDefault="00CE029E" w:rsidP="002A217E">
      <w:pPr>
        <w:pStyle w:val="BodyText"/>
        <w:rPr>
          <w:sz w:val="20"/>
          <w:szCs w:val="20"/>
        </w:rPr>
      </w:pPr>
    </w:p>
    <w:p w:rsidR="00CE029E" w:rsidRPr="002A217E" w:rsidRDefault="00980FD2" w:rsidP="002A217E">
      <w:pPr>
        <w:pStyle w:val="ListParagraph"/>
        <w:numPr>
          <w:ilvl w:val="0"/>
          <w:numId w:val="1"/>
        </w:numPr>
        <w:tabs>
          <w:tab w:val="left" w:pos="1541"/>
        </w:tabs>
        <w:ind w:right="115" w:firstLine="0"/>
        <w:rPr>
          <w:sz w:val="20"/>
          <w:szCs w:val="20"/>
        </w:rPr>
      </w:pPr>
      <w:r w:rsidRPr="002A217E">
        <w:rPr>
          <w:sz w:val="20"/>
          <w:szCs w:val="20"/>
        </w:rPr>
        <w:t>Dropping out is caused mostly by learners not coping academically. By far</w:t>
      </w:r>
      <w:r w:rsidRPr="002A217E">
        <w:rPr>
          <w:spacing w:val="-15"/>
          <w:sz w:val="20"/>
          <w:szCs w:val="20"/>
        </w:rPr>
        <w:t xml:space="preserve"> </w:t>
      </w:r>
      <w:r w:rsidRPr="002A217E">
        <w:rPr>
          <w:sz w:val="20"/>
          <w:szCs w:val="20"/>
        </w:rPr>
        <w:t>the</w:t>
      </w:r>
      <w:r w:rsidRPr="002A217E">
        <w:rPr>
          <w:spacing w:val="-16"/>
          <w:sz w:val="20"/>
          <w:szCs w:val="20"/>
        </w:rPr>
        <w:t xml:space="preserve"> </w:t>
      </w:r>
      <w:r w:rsidRPr="002A217E">
        <w:rPr>
          <w:sz w:val="20"/>
          <w:szCs w:val="20"/>
        </w:rPr>
        <w:t>most</w:t>
      </w:r>
      <w:r w:rsidRPr="002A217E">
        <w:rPr>
          <w:spacing w:val="-16"/>
          <w:sz w:val="20"/>
          <w:szCs w:val="20"/>
        </w:rPr>
        <w:t xml:space="preserve"> </w:t>
      </w:r>
      <w:r w:rsidRPr="002A217E">
        <w:rPr>
          <w:sz w:val="20"/>
          <w:szCs w:val="20"/>
        </w:rPr>
        <w:t>important</w:t>
      </w:r>
      <w:r w:rsidRPr="002A217E">
        <w:rPr>
          <w:spacing w:val="-13"/>
          <w:sz w:val="20"/>
          <w:szCs w:val="20"/>
        </w:rPr>
        <w:t xml:space="preserve"> </w:t>
      </w:r>
      <w:r w:rsidRPr="002A217E">
        <w:rPr>
          <w:sz w:val="20"/>
          <w:szCs w:val="20"/>
        </w:rPr>
        <w:t>interventions</w:t>
      </w:r>
      <w:r w:rsidRPr="002A217E">
        <w:rPr>
          <w:spacing w:val="-16"/>
          <w:sz w:val="20"/>
          <w:szCs w:val="20"/>
        </w:rPr>
        <w:t xml:space="preserve"> </w:t>
      </w:r>
      <w:r w:rsidRPr="002A217E">
        <w:rPr>
          <w:sz w:val="20"/>
          <w:szCs w:val="20"/>
        </w:rPr>
        <w:t>implicitly</w:t>
      </w:r>
      <w:r w:rsidRPr="002A217E">
        <w:rPr>
          <w:spacing w:val="-17"/>
          <w:sz w:val="20"/>
          <w:szCs w:val="20"/>
        </w:rPr>
        <w:t xml:space="preserve"> </w:t>
      </w:r>
      <w:r w:rsidRPr="002A217E">
        <w:rPr>
          <w:sz w:val="20"/>
          <w:szCs w:val="20"/>
        </w:rPr>
        <w:t>aimed</w:t>
      </w:r>
      <w:r w:rsidRPr="002A217E">
        <w:rPr>
          <w:spacing w:val="-15"/>
          <w:sz w:val="20"/>
          <w:szCs w:val="20"/>
        </w:rPr>
        <w:t xml:space="preserve"> </w:t>
      </w:r>
      <w:r w:rsidRPr="002A217E">
        <w:rPr>
          <w:sz w:val="20"/>
          <w:szCs w:val="20"/>
        </w:rPr>
        <w:t>at</w:t>
      </w:r>
      <w:r w:rsidRPr="002A217E">
        <w:rPr>
          <w:spacing w:val="-16"/>
          <w:sz w:val="20"/>
          <w:szCs w:val="20"/>
        </w:rPr>
        <w:t xml:space="preserve"> </w:t>
      </w:r>
      <w:r w:rsidRPr="002A217E">
        <w:rPr>
          <w:sz w:val="20"/>
          <w:szCs w:val="20"/>
        </w:rPr>
        <w:t>combatting</w:t>
      </w:r>
      <w:r w:rsidRPr="002A217E">
        <w:rPr>
          <w:spacing w:val="-15"/>
          <w:sz w:val="20"/>
          <w:szCs w:val="20"/>
        </w:rPr>
        <w:t xml:space="preserve"> </w:t>
      </w:r>
      <w:r w:rsidRPr="002A217E">
        <w:rPr>
          <w:sz w:val="20"/>
          <w:szCs w:val="20"/>
        </w:rPr>
        <w:t>dropping</w:t>
      </w:r>
      <w:r w:rsidRPr="002A217E">
        <w:rPr>
          <w:spacing w:val="-15"/>
          <w:sz w:val="20"/>
          <w:szCs w:val="20"/>
        </w:rPr>
        <w:t xml:space="preserve"> </w:t>
      </w:r>
      <w:r w:rsidRPr="002A217E">
        <w:rPr>
          <w:sz w:val="20"/>
          <w:szCs w:val="20"/>
        </w:rPr>
        <w:t>out, focus on improving the quality of learning and teaching. Such interventions include upgrading the skills of teachers at the secondary level, and initiatives aimed</w:t>
      </w:r>
      <w:r w:rsidRPr="002A217E">
        <w:rPr>
          <w:spacing w:val="-8"/>
          <w:sz w:val="20"/>
          <w:szCs w:val="20"/>
        </w:rPr>
        <w:t xml:space="preserve"> </w:t>
      </w:r>
      <w:r w:rsidRPr="002A217E">
        <w:rPr>
          <w:sz w:val="20"/>
          <w:szCs w:val="20"/>
        </w:rPr>
        <w:t>at</w:t>
      </w:r>
      <w:r w:rsidRPr="002A217E">
        <w:rPr>
          <w:spacing w:val="-10"/>
          <w:sz w:val="20"/>
          <w:szCs w:val="20"/>
        </w:rPr>
        <w:t xml:space="preserve"> </w:t>
      </w:r>
      <w:r w:rsidRPr="002A217E">
        <w:rPr>
          <w:sz w:val="20"/>
          <w:szCs w:val="20"/>
        </w:rPr>
        <w:t>ensuring</w:t>
      </w:r>
      <w:r w:rsidRPr="002A217E">
        <w:rPr>
          <w:spacing w:val="-10"/>
          <w:sz w:val="20"/>
          <w:szCs w:val="20"/>
        </w:rPr>
        <w:t xml:space="preserve"> </w:t>
      </w:r>
      <w:r w:rsidRPr="002A217E">
        <w:rPr>
          <w:sz w:val="20"/>
          <w:szCs w:val="20"/>
        </w:rPr>
        <w:t>that</w:t>
      </w:r>
      <w:r w:rsidRPr="002A217E">
        <w:rPr>
          <w:spacing w:val="-10"/>
          <w:sz w:val="20"/>
          <w:szCs w:val="20"/>
        </w:rPr>
        <w:t xml:space="preserve"> </w:t>
      </w:r>
      <w:r w:rsidRPr="002A217E">
        <w:rPr>
          <w:sz w:val="20"/>
          <w:szCs w:val="20"/>
        </w:rPr>
        <w:t>learners</w:t>
      </w:r>
      <w:r w:rsidRPr="002A217E">
        <w:rPr>
          <w:spacing w:val="-9"/>
          <w:sz w:val="20"/>
          <w:szCs w:val="20"/>
        </w:rPr>
        <w:t xml:space="preserve"> </w:t>
      </w:r>
      <w:r w:rsidRPr="002A217E">
        <w:rPr>
          <w:sz w:val="20"/>
          <w:szCs w:val="20"/>
        </w:rPr>
        <w:t>have</w:t>
      </w:r>
      <w:r w:rsidRPr="002A217E">
        <w:rPr>
          <w:spacing w:val="-7"/>
          <w:sz w:val="20"/>
          <w:szCs w:val="20"/>
        </w:rPr>
        <w:t xml:space="preserve"> </w:t>
      </w:r>
      <w:r w:rsidRPr="002A217E">
        <w:rPr>
          <w:sz w:val="20"/>
          <w:szCs w:val="20"/>
        </w:rPr>
        <w:t>all</w:t>
      </w:r>
      <w:r w:rsidRPr="002A217E">
        <w:rPr>
          <w:spacing w:val="-9"/>
          <w:sz w:val="20"/>
          <w:szCs w:val="20"/>
        </w:rPr>
        <w:t xml:space="preserve"> </w:t>
      </w:r>
      <w:r w:rsidRPr="002A217E">
        <w:rPr>
          <w:sz w:val="20"/>
          <w:szCs w:val="20"/>
        </w:rPr>
        <w:t>the</w:t>
      </w:r>
      <w:r w:rsidRPr="002A217E">
        <w:rPr>
          <w:spacing w:val="-10"/>
          <w:sz w:val="20"/>
          <w:szCs w:val="20"/>
        </w:rPr>
        <w:t xml:space="preserve"> </w:t>
      </w:r>
      <w:r w:rsidRPr="002A217E">
        <w:rPr>
          <w:sz w:val="20"/>
          <w:szCs w:val="20"/>
        </w:rPr>
        <w:t>textbooks</w:t>
      </w:r>
      <w:r w:rsidRPr="002A217E">
        <w:rPr>
          <w:spacing w:val="-9"/>
          <w:sz w:val="20"/>
          <w:szCs w:val="20"/>
        </w:rPr>
        <w:t xml:space="preserve"> </w:t>
      </w:r>
      <w:r w:rsidRPr="002A217E">
        <w:rPr>
          <w:sz w:val="20"/>
          <w:szCs w:val="20"/>
        </w:rPr>
        <w:t>they</w:t>
      </w:r>
      <w:r w:rsidRPr="002A217E">
        <w:rPr>
          <w:spacing w:val="-11"/>
          <w:sz w:val="20"/>
          <w:szCs w:val="20"/>
        </w:rPr>
        <w:t xml:space="preserve"> </w:t>
      </w:r>
      <w:r w:rsidRPr="002A217E">
        <w:rPr>
          <w:sz w:val="20"/>
          <w:szCs w:val="20"/>
        </w:rPr>
        <w:t>need,</w:t>
      </w:r>
      <w:r w:rsidRPr="002A217E">
        <w:rPr>
          <w:spacing w:val="-10"/>
          <w:sz w:val="20"/>
          <w:szCs w:val="20"/>
        </w:rPr>
        <w:t xml:space="preserve"> </w:t>
      </w:r>
      <w:r w:rsidRPr="002A217E">
        <w:rPr>
          <w:sz w:val="20"/>
          <w:szCs w:val="20"/>
        </w:rPr>
        <w:t>as</w:t>
      </w:r>
      <w:r w:rsidRPr="002A217E">
        <w:rPr>
          <w:spacing w:val="-11"/>
          <w:sz w:val="20"/>
          <w:szCs w:val="20"/>
        </w:rPr>
        <w:t xml:space="preserve"> </w:t>
      </w:r>
      <w:r w:rsidRPr="002A217E">
        <w:rPr>
          <w:sz w:val="20"/>
          <w:szCs w:val="20"/>
        </w:rPr>
        <w:t>well</w:t>
      </w:r>
      <w:r w:rsidRPr="002A217E">
        <w:rPr>
          <w:spacing w:val="-9"/>
          <w:sz w:val="20"/>
          <w:szCs w:val="20"/>
        </w:rPr>
        <w:t xml:space="preserve"> </w:t>
      </w:r>
      <w:r w:rsidRPr="002A217E">
        <w:rPr>
          <w:sz w:val="20"/>
          <w:szCs w:val="20"/>
        </w:rPr>
        <w:t>as</w:t>
      </w:r>
      <w:r w:rsidRPr="002A217E">
        <w:rPr>
          <w:spacing w:val="-8"/>
          <w:sz w:val="20"/>
          <w:szCs w:val="20"/>
        </w:rPr>
        <w:t xml:space="preserve"> </w:t>
      </w:r>
      <w:r w:rsidRPr="002A217E">
        <w:rPr>
          <w:sz w:val="20"/>
          <w:szCs w:val="20"/>
        </w:rPr>
        <w:t>the support / remedial programmes they require. Important longer-term interventions, include improving the way reading, writing and numeracy are taught in the earliest grades. Details appear in the Department’s Annual Performance</w:t>
      </w:r>
      <w:r w:rsidRPr="002A217E">
        <w:rPr>
          <w:spacing w:val="38"/>
          <w:sz w:val="20"/>
          <w:szCs w:val="20"/>
        </w:rPr>
        <w:t xml:space="preserve"> </w:t>
      </w:r>
      <w:r w:rsidRPr="002A217E">
        <w:rPr>
          <w:sz w:val="20"/>
          <w:szCs w:val="20"/>
        </w:rPr>
        <w:t>Pla</w:t>
      </w:r>
      <w:r w:rsidRPr="002A217E">
        <w:rPr>
          <w:sz w:val="20"/>
          <w:szCs w:val="20"/>
        </w:rPr>
        <w:t>n</w:t>
      </w:r>
      <w:r w:rsidRPr="002A217E">
        <w:rPr>
          <w:spacing w:val="40"/>
          <w:sz w:val="20"/>
          <w:szCs w:val="20"/>
        </w:rPr>
        <w:t xml:space="preserve"> </w:t>
      </w:r>
      <w:r w:rsidRPr="002A217E">
        <w:rPr>
          <w:sz w:val="20"/>
          <w:szCs w:val="20"/>
        </w:rPr>
        <w:t>and</w:t>
      </w:r>
      <w:r w:rsidRPr="002A217E">
        <w:rPr>
          <w:spacing w:val="41"/>
          <w:sz w:val="20"/>
          <w:szCs w:val="20"/>
        </w:rPr>
        <w:t xml:space="preserve"> </w:t>
      </w:r>
      <w:r w:rsidRPr="002A217E">
        <w:rPr>
          <w:sz w:val="20"/>
          <w:szCs w:val="20"/>
        </w:rPr>
        <w:t>other</w:t>
      </w:r>
      <w:r w:rsidRPr="002A217E">
        <w:rPr>
          <w:spacing w:val="40"/>
          <w:sz w:val="20"/>
          <w:szCs w:val="20"/>
        </w:rPr>
        <w:t xml:space="preserve"> </w:t>
      </w:r>
      <w:r w:rsidRPr="002A217E">
        <w:rPr>
          <w:sz w:val="20"/>
          <w:szCs w:val="20"/>
        </w:rPr>
        <w:t>documents</w:t>
      </w:r>
      <w:r w:rsidRPr="002A217E">
        <w:rPr>
          <w:spacing w:val="38"/>
          <w:sz w:val="20"/>
          <w:szCs w:val="20"/>
        </w:rPr>
        <w:t xml:space="preserve"> </w:t>
      </w:r>
      <w:r w:rsidRPr="002A217E">
        <w:rPr>
          <w:sz w:val="20"/>
          <w:szCs w:val="20"/>
        </w:rPr>
        <w:t>on</w:t>
      </w:r>
      <w:r w:rsidRPr="002A217E">
        <w:rPr>
          <w:spacing w:val="42"/>
          <w:sz w:val="20"/>
          <w:szCs w:val="20"/>
        </w:rPr>
        <w:t xml:space="preserve"> </w:t>
      </w:r>
      <w:r w:rsidRPr="002A217E">
        <w:rPr>
          <w:sz w:val="20"/>
          <w:szCs w:val="20"/>
        </w:rPr>
        <w:t>the</w:t>
      </w:r>
      <w:r w:rsidRPr="002A217E">
        <w:rPr>
          <w:spacing w:val="41"/>
          <w:sz w:val="20"/>
          <w:szCs w:val="20"/>
        </w:rPr>
        <w:t xml:space="preserve"> </w:t>
      </w:r>
      <w:r w:rsidRPr="002A217E">
        <w:rPr>
          <w:sz w:val="20"/>
          <w:szCs w:val="20"/>
        </w:rPr>
        <w:t>Department’s</w:t>
      </w:r>
      <w:r w:rsidRPr="002A217E">
        <w:rPr>
          <w:spacing w:val="41"/>
          <w:sz w:val="20"/>
          <w:szCs w:val="20"/>
        </w:rPr>
        <w:t xml:space="preserve"> </w:t>
      </w:r>
      <w:r w:rsidRPr="002A217E">
        <w:rPr>
          <w:sz w:val="20"/>
          <w:szCs w:val="20"/>
        </w:rPr>
        <w:t>website.</w:t>
      </w:r>
    </w:p>
    <w:p w:rsidR="00CE029E" w:rsidRPr="002A217E" w:rsidRDefault="00CE029E" w:rsidP="002A217E">
      <w:pPr>
        <w:pStyle w:val="BodyText"/>
        <w:rPr>
          <w:sz w:val="20"/>
          <w:szCs w:val="20"/>
        </w:rPr>
      </w:pPr>
    </w:p>
    <w:p w:rsidR="00CE029E" w:rsidRPr="002A217E" w:rsidRDefault="00980FD2" w:rsidP="002A217E">
      <w:pPr>
        <w:pStyle w:val="BodyText"/>
        <w:ind w:left="820" w:right="121"/>
        <w:rPr>
          <w:sz w:val="20"/>
          <w:szCs w:val="20"/>
        </w:rPr>
      </w:pPr>
      <w:r w:rsidRPr="002A217E">
        <w:rPr>
          <w:sz w:val="20"/>
          <w:szCs w:val="20"/>
        </w:rPr>
        <w:lastRenderedPageBreak/>
        <w:t>In addition, the COVID-19 pandemic poses immense threats to educational quality. In this regard, the Department has focussed strongly on returning learners</w:t>
      </w:r>
      <w:r w:rsidRPr="002A217E">
        <w:rPr>
          <w:spacing w:val="-19"/>
          <w:sz w:val="20"/>
          <w:szCs w:val="20"/>
        </w:rPr>
        <w:t xml:space="preserve"> </w:t>
      </w:r>
      <w:r w:rsidRPr="002A217E">
        <w:rPr>
          <w:sz w:val="20"/>
          <w:szCs w:val="20"/>
        </w:rPr>
        <w:t>to</w:t>
      </w:r>
      <w:r w:rsidRPr="002A217E">
        <w:rPr>
          <w:spacing w:val="-17"/>
          <w:sz w:val="20"/>
          <w:szCs w:val="20"/>
        </w:rPr>
        <w:t xml:space="preserve"> </w:t>
      </w:r>
      <w:r w:rsidRPr="002A217E">
        <w:rPr>
          <w:sz w:val="20"/>
          <w:szCs w:val="20"/>
        </w:rPr>
        <w:t>regular</w:t>
      </w:r>
      <w:r w:rsidRPr="002A217E">
        <w:rPr>
          <w:spacing w:val="-18"/>
          <w:sz w:val="20"/>
          <w:szCs w:val="20"/>
        </w:rPr>
        <w:t xml:space="preserve"> </w:t>
      </w:r>
      <w:r w:rsidRPr="002A217E">
        <w:rPr>
          <w:sz w:val="20"/>
          <w:szCs w:val="20"/>
        </w:rPr>
        <w:t>daily</w:t>
      </w:r>
      <w:r w:rsidRPr="002A217E">
        <w:rPr>
          <w:spacing w:val="-20"/>
          <w:sz w:val="20"/>
          <w:szCs w:val="20"/>
        </w:rPr>
        <w:t xml:space="preserve"> </w:t>
      </w:r>
      <w:r w:rsidRPr="002A217E">
        <w:rPr>
          <w:sz w:val="20"/>
          <w:szCs w:val="20"/>
        </w:rPr>
        <w:t>attendance,</w:t>
      </w:r>
      <w:r w:rsidRPr="002A217E">
        <w:rPr>
          <w:spacing w:val="-21"/>
          <w:sz w:val="20"/>
          <w:szCs w:val="20"/>
        </w:rPr>
        <w:t xml:space="preserve"> </w:t>
      </w:r>
      <w:r w:rsidRPr="002A217E">
        <w:rPr>
          <w:sz w:val="20"/>
          <w:szCs w:val="20"/>
        </w:rPr>
        <w:t>for</w:t>
      </w:r>
      <w:r w:rsidRPr="002A217E">
        <w:rPr>
          <w:spacing w:val="-18"/>
          <w:sz w:val="20"/>
          <w:szCs w:val="20"/>
        </w:rPr>
        <w:t xml:space="preserve"> </w:t>
      </w:r>
      <w:r w:rsidRPr="002A217E">
        <w:rPr>
          <w:sz w:val="20"/>
          <w:szCs w:val="20"/>
        </w:rPr>
        <w:t>instance</w:t>
      </w:r>
      <w:r w:rsidRPr="002A217E">
        <w:rPr>
          <w:spacing w:val="-17"/>
          <w:sz w:val="20"/>
          <w:szCs w:val="20"/>
        </w:rPr>
        <w:t xml:space="preserve"> </w:t>
      </w:r>
      <w:r w:rsidRPr="002A217E">
        <w:rPr>
          <w:sz w:val="20"/>
          <w:szCs w:val="20"/>
        </w:rPr>
        <w:t>by</w:t>
      </w:r>
      <w:r w:rsidRPr="002A217E">
        <w:rPr>
          <w:spacing w:val="-20"/>
          <w:sz w:val="20"/>
          <w:szCs w:val="20"/>
        </w:rPr>
        <w:t xml:space="preserve"> </w:t>
      </w:r>
      <w:r w:rsidRPr="002A217E">
        <w:rPr>
          <w:sz w:val="20"/>
          <w:szCs w:val="20"/>
        </w:rPr>
        <w:t>insisting</w:t>
      </w:r>
      <w:r w:rsidRPr="002A217E">
        <w:rPr>
          <w:spacing w:val="-20"/>
          <w:sz w:val="20"/>
          <w:szCs w:val="20"/>
        </w:rPr>
        <w:t xml:space="preserve"> </w:t>
      </w:r>
      <w:r w:rsidRPr="002A217E">
        <w:rPr>
          <w:sz w:val="20"/>
          <w:szCs w:val="20"/>
        </w:rPr>
        <w:t>on</w:t>
      </w:r>
      <w:r w:rsidRPr="002A217E">
        <w:rPr>
          <w:spacing w:val="-17"/>
          <w:sz w:val="20"/>
          <w:szCs w:val="20"/>
        </w:rPr>
        <w:t xml:space="preserve"> </w:t>
      </w:r>
      <w:r w:rsidRPr="002A217E">
        <w:rPr>
          <w:sz w:val="20"/>
          <w:szCs w:val="20"/>
        </w:rPr>
        <w:t>the</w:t>
      </w:r>
      <w:r w:rsidRPr="002A217E">
        <w:rPr>
          <w:spacing w:val="-17"/>
          <w:sz w:val="20"/>
          <w:szCs w:val="20"/>
        </w:rPr>
        <w:t xml:space="preserve"> </w:t>
      </w:r>
      <w:r w:rsidRPr="002A217E">
        <w:rPr>
          <w:sz w:val="20"/>
          <w:szCs w:val="20"/>
        </w:rPr>
        <w:t>prioritisation of teachers in the national vaccination</w:t>
      </w:r>
      <w:r w:rsidRPr="002A217E">
        <w:rPr>
          <w:spacing w:val="-3"/>
          <w:sz w:val="20"/>
          <w:szCs w:val="20"/>
        </w:rPr>
        <w:t xml:space="preserve"> </w:t>
      </w:r>
      <w:r w:rsidRPr="002A217E">
        <w:rPr>
          <w:sz w:val="20"/>
          <w:szCs w:val="20"/>
        </w:rPr>
        <w:t>programme.</w:t>
      </w:r>
    </w:p>
    <w:sectPr w:rsidR="00CE029E" w:rsidRPr="002A217E" w:rsidSect="00CE029E">
      <w:headerReference w:type="default" r:id="rId7"/>
      <w:pgSz w:w="11910" w:h="16840"/>
      <w:pgMar w:top="2000" w:right="1320" w:bottom="280" w:left="1340" w:header="71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D2" w:rsidRDefault="00980FD2" w:rsidP="00CE029E">
      <w:r>
        <w:separator/>
      </w:r>
    </w:p>
  </w:endnote>
  <w:endnote w:type="continuationSeparator" w:id="0">
    <w:p w:rsidR="00980FD2" w:rsidRDefault="00980FD2" w:rsidP="00CE02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D2" w:rsidRDefault="00980FD2" w:rsidP="00CE029E">
      <w:r>
        <w:separator/>
      </w:r>
    </w:p>
  </w:footnote>
  <w:footnote w:type="continuationSeparator" w:id="0">
    <w:p w:rsidR="00980FD2" w:rsidRDefault="00980FD2" w:rsidP="00CE0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9E" w:rsidRDefault="00CE029E">
    <w:pPr>
      <w:pStyle w:val="BodyText"/>
      <w:spacing w:line="14" w:lineRule="auto"/>
      <w:rPr>
        <w:sz w:val="20"/>
      </w:rPr>
    </w:pPr>
    <w:r w:rsidRPr="00CE029E">
      <w:pict>
        <v:shapetype id="_x0000_t202" coordsize="21600,21600" o:spt="202" path="m,l,21600r21600,l21600,xe">
          <v:stroke joinstyle="miter"/>
          <v:path gradientshapeok="t" o:connecttype="rect"/>
        </v:shapetype>
        <v:shape id="_x0000_s1027" type="#_x0000_t202" style="position:absolute;margin-left:71pt;margin-top:34.7pt;width:133.55pt;height:15.45pt;z-index:-251743232;mso-position-horizontal-relative:page;mso-position-vertical-relative:page" filled="f" stroked="f">
          <v:textbox inset="0,0,0,0">
            <w:txbxContent>
              <w:p w:rsidR="00CE029E" w:rsidRDefault="00CE029E">
                <w:pPr>
                  <w:spacing w:before="12"/>
                  <w:ind w:left="20"/>
                  <w:rPr>
                    <w:b/>
                    <w:sz w:val="24"/>
                  </w:rPr>
                </w:pPr>
              </w:p>
            </w:txbxContent>
          </v:textbox>
          <w10:wrap anchorx="page" anchory="page"/>
        </v:shape>
      </w:pict>
    </w:r>
    <w:r w:rsidRPr="00CE029E">
      <w:pict>
        <v:shape id="_x0000_s1026" type="#_x0000_t202" style="position:absolute;margin-left:71pt;margin-top:60.6pt;width:100.15pt;height:15.45pt;z-index:-251742208;mso-position-horizontal-relative:page;mso-position-vertical-relative:page" filled="f" stroked="f">
          <v:textbox inset="0,0,0,0">
            <w:txbxContent>
              <w:p w:rsidR="00CE029E" w:rsidRDefault="00CE029E">
                <w:pPr>
                  <w:spacing w:before="12"/>
                  <w:ind w:left="20"/>
                  <w:rPr>
                    <w:b/>
                    <w:sz w:val="24"/>
                  </w:rPr>
                </w:pPr>
              </w:p>
            </w:txbxContent>
          </v:textbox>
          <w10:wrap anchorx="page" anchory="page"/>
        </v:shape>
      </w:pict>
    </w:r>
    <w:r w:rsidRPr="00CE029E">
      <w:pict>
        <v:shape id="_x0000_s1025" type="#_x0000_t202" style="position:absolute;margin-left:71pt;margin-top:86.3pt;width:94.85pt;height:15.45pt;z-index:-251741184;mso-position-horizontal-relative:page;mso-position-vertical-relative:page" filled="f" stroked="f">
          <v:textbox inset="0,0,0,0">
            <w:txbxContent>
              <w:p w:rsidR="00CE029E" w:rsidRDefault="00CE029E">
                <w:pPr>
                  <w:spacing w:before="12"/>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346"/>
    <w:multiLevelType w:val="hybridMultilevel"/>
    <w:tmpl w:val="1E4255CE"/>
    <w:lvl w:ilvl="0" w:tplc="2F005AF2">
      <w:start w:val="1"/>
      <w:numFmt w:val="lowerLetter"/>
      <w:lvlText w:val="%1."/>
      <w:lvlJc w:val="left"/>
      <w:pPr>
        <w:ind w:left="820" w:hanging="720"/>
        <w:jc w:val="left"/>
      </w:pPr>
      <w:rPr>
        <w:rFonts w:ascii="Times New Roman" w:eastAsia="Times New Roman" w:hAnsi="Times New Roman" w:cs="Times New Roman" w:hint="default"/>
        <w:spacing w:val="-33"/>
        <w:w w:val="99"/>
        <w:sz w:val="24"/>
        <w:szCs w:val="24"/>
        <w:lang w:val="en-US" w:eastAsia="en-US" w:bidi="en-US"/>
      </w:rPr>
    </w:lvl>
    <w:lvl w:ilvl="1" w:tplc="4BFA2332">
      <w:numFmt w:val="bullet"/>
      <w:lvlText w:val="•"/>
      <w:lvlJc w:val="left"/>
      <w:pPr>
        <w:ind w:left="1662" w:hanging="720"/>
      </w:pPr>
      <w:rPr>
        <w:rFonts w:hint="default"/>
        <w:lang w:val="en-US" w:eastAsia="en-US" w:bidi="en-US"/>
      </w:rPr>
    </w:lvl>
    <w:lvl w:ilvl="2" w:tplc="B3F4324C">
      <w:numFmt w:val="bullet"/>
      <w:lvlText w:val="•"/>
      <w:lvlJc w:val="left"/>
      <w:pPr>
        <w:ind w:left="2505" w:hanging="720"/>
      </w:pPr>
      <w:rPr>
        <w:rFonts w:hint="default"/>
        <w:lang w:val="en-US" w:eastAsia="en-US" w:bidi="en-US"/>
      </w:rPr>
    </w:lvl>
    <w:lvl w:ilvl="3" w:tplc="1570EBA0">
      <w:numFmt w:val="bullet"/>
      <w:lvlText w:val="•"/>
      <w:lvlJc w:val="left"/>
      <w:pPr>
        <w:ind w:left="3347" w:hanging="720"/>
      </w:pPr>
      <w:rPr>
        <w:rFonts w:hint="default"/>
        <w:lang w:val="en-US" w:eastAsia="en-US" w:bidi="en-US"/>
      </w:rPr>
    </w:lvl>
    <w:lvl w:ilvl="4" w:tplc="FA3A16B6">
      <w:numFmt w:val="bullet"/>
      <w:lvlText w:val="•"/>
      <w:lvlJc w:val="left"/>
      <w:pPr>
        <w:ind w:left="4190" w:hanging="720"/>
      </w:pPr>
      <w:rPr>
        <w:rFonts w:hint="default"/>
        <w:lang w:val="en-US" w:eastAsia="en-US" w:bidi="en-US"/>
      </w:rPr>
    </w:lvl>
    <w:lvl w:ilvl="5" w:tplc="85DCCC72">
      <w:numFmt w:val="bullet"/>
      <w:lvlText w:val="•"/>
      <w:lvlJc w:val="left"/>
      <w:pPr>
        <w:ind w:left="5033" w:hanging="720"/>
      </w:pPr>
      <w:rPr>
        <w:rFonts w:hint="default"/>
        <w:lang w:val="en-US" w:eastAsia="en-US" w:bidi="en-US"/>
      </w:rPr>
    </w:lvl>
    <w:lvl w:ilvl="6" w:tplc="E52EAF56">
      <w:numFmt w:val="bullet"/>
      <w:lvlText w:val="•"/>
      <w:lvlJc w:val="left"/>
      <w:pPr>
        <w:ind w:left="5875" w:hanging="720"/>
      </w:pPr>
      <w:rPr>
        <w:rFonts w:hint="default"/>
        <w:lang w:val="en-US" w:eastAsia="en-US" w:bidi="en-US"/>
      </w:rPr>
    </w:lvl>
    <w:lvl w:ilvl="7" w:tplc="F83CB1A4">
      <w:numFmt w:val="bullet"/>
      <w:lvlText w:val="•"/>
      <w:lvlJc w:val="left"/>
      <w:pPr>
        <w:ind w:left="6718" w:hanging="720"/>
      </w:pPr>
      <w:rPr>
        <w:rFonts w:hint="default"/>
        <w:lang w:val="en-US" w:eastAsia="en-US" w:bidi="en-US"/>
      </w:rPr>
    </w:lvl>
    <w:lvl w:ilvl="8" w:tplc="63D2E7D4">
      <w:numFmt w:val="bullet"/>
      <w:lvlText w:val="•"/>
      <w:lvlJc w:val="left"/>
      <w:pPr>
        <w:ind w:left="7561"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CE029E"/>
    <w:rsid w:val="002A217E"/>
    <w:rsid w:val="00980FD2"/>
    <w:rsid w:val="00CE0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029E"/>
    <w:rPr>
      <w:rFonts w:ascii="Arial" w:eastAsia="Arial" w:hAnsi="Arial" w:cs="Arial"/>
      <w:lang w:bidi="en-US"/>
    </w:rPr>
  </w:style>
  <w:style w:type="paragraph" w:styleId="Heading1">
    <w:name w:val="heading 1"/>
    <w:basedOn w:val="Normal"/>
    <w:uiPriority w:val="1"/>
    <w:qFormat/>
    <w:rsid w:val="00CE029E"/>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29E"/>
    <w:rPr>
      <w:sz w:val="24"/>
      <w:szCs w:val="24"/>
    </w:rPr>
  </w:style>
  <w:style w:type="paragraph" w:styleId="ListParagraph">
    <w:name w:val="List Paragraph"/>
    <w:basedOn w:val="Normal"/>
    <w:uiPriority w:val="1"/>
    <w:qFormat/>
    <w:rsid w:val="00CE029E"/>
    <w:pPr>
      <w:ind w:left="820" w:right="114"/>
      <w:jc w:val="both"/>
    </w:pPr>
  </w:style>
  <w:style w:type="paragraph" w:customStyle="1" w:styleId="TableParagraph">
    <w:name w:val="Table Paragraph"/>
    <w:basedOn w:val="Normal"/>
    <w:uiPriority w:val="1"/>
    <w:qFormat/>
    <w:rsid w:val="00CE029E"/>
  </w:style>
  <w:style w:type="paragraph" w:styleId="Header">
    <w:name w:val="header"/>
    <w:basedOn w:val="Normal"/>
    <w:link w:val="HeaderChar"/>
    <w:uiPriority w:val="99"/>
    <w:semiHidden/>
    <w:unhideWhenUsed/>
    <w:rsid w:val="002A217E"/>
    <w:pPr>
      <w:tabs>
        <w:tab w:val="center" w:pos="4680"/>
        <w:tab w:val="right" w:pos="9360"/>
      </w:tabs>
    </w:pPr>
  </w:style>
  <w:style w:type="character" w:customStyle="1" w:styleId="HeaderChar">
    <w:name w:val="Header Char"/>
    <w:basedOn w:val="DefaultParagraphFont"/>
    <w:link w:val="Header"/>
    <w:uiPriority w:val="99"/>
    <w:semiHidden/>
    <w:rsid w:val="002A217E"/>
    <w:rPr>
      <w:rFonts w:ascii="Arial" w:eastAsia="Arial" w:hAnsi="Arial" w:cs="Arial"/>
      <w:lang w:bidi="en-US"/>
    </w:rPr>
  </w:style>
  <w:style w:type="paragraph" w:styleId="Footer">
    <w:name w:val="footer"/>
    <w:basedOn w:val="Normal"/>
    <w:link w:val="FooterChar"/>
    <w:uiPriority w:val="99"/>
    <w:semiHidden/>
    <w:unhideWhenUsed/>
    <w:rsid w:val="002A217E"/>
    <w:pPr>
      <w:tabs>
        <w:tab w:val="center" w:pos="4680"/>
        <w:tab w:val="right" w:pos="9360"/>
      </w:tabs>
    </w:pPr>
  </w:style>
  <w:style w:type="character" w:customStyle="1" w:styleId="FooterChar">
    <w:name w:val="Footer Char"/>
    <w:basedOn w:val="DefaultParagraphFont"/>
    <w:link w:val="Footer"/>
    <w:uiPriority w:val="99"/>
    <w:semiHidden/>
    <w:rsid w:val="002A217E"/>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2022-01-18T08:51:00Z</dcterms:created>
  <dcterms:modified xsi:type="dcterms:W3CDTF">2022-01-18T09:02:00Z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