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35" w:rsidRPr="00391523" w:rsidRDefault="00590435" w:rsidP="00391523">
      <w:pPr>
        <w:pStyle w:val="BodyText"/>
        <w:rPr>
          <w:rFonts w:ascii="Times New Roman"/>
          <w:sz w:val="20"/>
          <w:szCs w:val="20"/>
        </w:rPr>
      </w:pPr>
    </w:p>
    <w:p w:rsidR="00590435" w:rsidRPr="00391523" w:rsidRDefault="00590435" w:rsidP="00391523">
      <w:pPr>
        <w:pStyle w:val="BodyText"/>
        <w:ind w:left="2748"/>
        <w:rPr>
          <w:rFonts w:ascii="Times New Roman"/>
          <w:sz w:val="20"/>
          <w:szCs w:val="20"/>
        </w:rPr>
      </w:pPr>
    </w:p>
    <w:p w:rsidR="00590435" w:rsidRPr="00391523" w:rsidRDefault="00590435" w:rsidP="00391523">
      <w:pPr>
        <w:pStyle w:val="BodyText"/>
        <w:rPr>
          <w:rFonts w:ascii="Times New Roman"/>
          <w:sz w:val="20"/>
          <w:szCs w:val="20"/>
        </w:rPr>
      </w:pPr>
    </w:p>
    <w:p w:rsidR="00590435" w:rsidRPr="00391523" w:rsidRDefault="00391523" w:rsidP="00391523">
      <w:pPr>
        <w:pStyle w:val="Heading1"/>
        <w:ind w:left="2774" w:right="2772" w:firstLine="926"/>
        <w:rPr>
          <w:sz w:val="20"/>
          <w:szCs w:val="20"/>
        </w:rPr>
      </w:pPr>
      <w:r w:rsidRPr="00391523">
        <w:rPr>
          <w:sz w:val="20"/>
          <w:szCs w:val="20"/>
        </w:rPr>
        <w:t>NATIONAL ASSEMBLY QUESTIONS FOR WRITTEN REPLY</w:t>
      </w:r>
    </w:p>
    <w:p w:rsidR="00590435" w:rsidRPr="00391523" w:rsidRDefault="00391523" w:rsidP="00391523">
      <w:pPr>
        <w:ind w:left="2145" w:right="2164"/>
        <w:rPr>
          <w:b/>
          <w:sz w:val="20"/>
          <w:szCs w:val="20"/>
        </w:rPr>
      </w:pPr>
      <w:r w:rsidRPr="00391523">
        <w:rPr>
          <w:b/>
          <w:sz w:val="20"/>
          <w:szCs w:val="20"/>
        </w:rPr>
        <w:t>QUESTION NUMBER: 2638</w:t>
      </w:r>
    </w:p>
    <w:p w:rsidR="00590435" w:rsidRPr="00391523" w:rsidRDefault="00391523" w:rsidP="00391523">
      <w:pPr>
        <w:ind w:left="2148" w:right="2164"/>
        <w:rPr>
          <w:b/>
          <w:sz w:val="20"/>
          <w:szCs w:val="20"/>
        </w:rPr>
      </w:pPr>
      <w:r w:rsidRPr="00391523">
        <w:rPr>
          <w:b/>
          <w:sz w:val="20"/>
          <w:szCs w:val="20"/>
        </w:rPr>
        <w:t>DATE OF PUBLICATION: 26 NOVEMBER 2021</w:t>
      </w:r>
    </w:p>
    <w:p w:rsidR="00590435" w:rsidRPr="00391523" w:rsidRDefault="00590435" w:rsidP="00391523">
      <w:pPr>
        <w:pStyle w:val="BodyText"/>
        <w:rPr>
          <w:b/>
          <w:sz w:val="20"/>
          <w:szCs w:val="20"/>
        </w:rPr>
      </w:pPr>
    </w:p>
    <w:p w:rsidR="00590435" w:rsidRPr="00391523" w:rsidRDefault="00590435" w:rsidP="00391523">
      <w:pPr>
        <w:pStyle w:val="BodyText"/>
        <w:rPr>
          <w:b/>
          <w:sz w:val="20"/>
          <w:szCs w:val="20"/>
        </w:rPr>
      </w:pPr>
    </w:p>
    <w:p w:rsidR="00590435" w:rsidRPr="00391523" w:rsidRDefault="00391523" w:rsidP="00391523">
      <w:pPr>
        <w:ind w:left="100"/>
        <w:rPr>
          <w:b/>
          <w:sz w:val="20"/>
          <w:szCs w:val="20"/>
        </w:rPr>
      </w:pPr>
      <w:r w:rsidRPr="00391523">
        <w:rPr>
          <w:b/>
          <w:sz w:val="20"/>
          <w:szCs w:val="20"/>
        </w:rPr>
        <w:t>QUESTION:</w:t>
      </w:r>
    </w:p>
    <w:p w:rsidR="00590435" w:rsidRPr="00391523" w:rsidRDefault="00590435" w:rsidP="00391523">
      <w:pPr>
        <w:pStyle w:val="BodyText"/>
        <w:rPr>
          <w:b/>
          <w:sz w:val="20"/>
          <w:szCs w:val="20"/>
        </w:rPr>
      </w:pPr>
    </w:p>
    <w:p w:rsidR="00590435" w:rsidRPr="00391523" w:rsidRDefault="00391523" w:rsidP="00391523">
      <w:pPr>
        <w:ind w:left="808" w:hanging="708"/>
        <w:rPr>
          <w:b/>
          <w:sz w:val="20"/>
          <w:szCs w:val="20"/>
        </w:rPr>
      </w:pPr>
      <w:r w:rsidRPr="00391523">
        <w:rPr>
          <w:b/>
          <w:sz w:val="20"/>
          <w:szCs w:val="20"/>
        </w:rPr>
        <w:t xml:space="preserve">2638. </w:t>
      </w:r>
      <w:proofErr w:type="spellStart"/>
      <w:r w:rsidRPr="00391523">
        <w:rPr>
          <w:b/>
          <w:sz w:val="20"/>
          <w:szCs w:val="20"/>
        </w:rPr>
        <w:t>Mr</w:t>
      </w:r>
      <w:proofErr w:type="spellEnd"/>
      <w:r w:rsidRPr="00391523">
        <w:rPr>
          <w:b/>
          <w:sz w:val="20"/>
          <w:szCs w:val="20"/>
        </w:rPr>
        <w:t xml:space="preserve"> K </w:t>
      </w:r>
      <w:proofErr w:type="spellStart"/>
      <w:r w:rsidRPr="00391523">
        <w:rPr>
          <w:b/>
          <w:sz w:val="20"/>
          <w:szCs w:val="20"/>
        </w:rPr>
        <w:t>Ceza</w:t>
      </w:r>
      <w:proofErr w:type="spellEnd"/>
      <w:r w:rsidRPr="00391523">
        <w:rPr>
          <w:b/>
          <w:sz w:val="20"/>
          <w:szCs w:val="20"/>
        </w:rPr>
        <w:t xml:space="preserve"> (EFF) to ask the Minister of Cooperative Governance and Traditional Affairs:</w:t>
      </w:r>
    </w:p>
    <w:p w:rsidR="00590435" w:rsidRPr="00391523" w:rsidRDefault="00590435" w:rsidP="00391523">
      <w:pPr>
        <w:pStyle w:val="BodyText"/>
        <w:rPr>
          <w:b/>
          <w:sz w:val="20"/>
          <w:szCs w:val="20"/>
        </w:rPr>
      </w:pPr>
    </w:p>
    <w:p w:rsidR="00590435" w:rsidRPr="00391523" w:rsidRDefault="00391523" w:rsidP="00391523">
      <w:pPr>
        <w:pStyle w:val="BodyText"/>
        <w:ind w:left="820" w:right="114"/>
        <w:rPr>
          <w:sz w:val="20"/>
          <w:szCs w:val="20"/>
        </w:rPr>
      </w:pPr>
      <w:r w:rsidRPr="00391523">
        <w:rPr>
          <w:sz w:val="20"/>
          <w:szCs w:val="20"/>
        </w:rPr>
        <w:t>Whether her department has taken any concrete action to resolve maladministration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that</w:t>
      </w:r>
      <w:r w:rsidRPr="00391523">
        <w:rPr>
          <w:spacing w:val="-13"/>
          <w:sz w:val="20"/>
          <w:szCs w:val="20"/>
        </w:rPr>
        <w:t xml:space="preserve"> </w:t>
      </w:r>
      <w:r w:rsidRPr="00391523">
        <w:rPr>
          <w:sz w:val="20"/>
          <w:szCs w:val="20"/>
        </w:rPr>
        <w:t>resulted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in</w:t>
      </w:r>
      <w:r w:rsidRPr="00391523">
        <w:rPr>
          <w:spacing w:val="-11"/>
          <w:sz w:val="20"/>
          <w:szCs w:val="20"/>
        </w:rPr>
        <w:t xml:space="preserve"> </w:t>
      </w:r>
      <w:r w:rsidRPr="00391523">
        <w:rPr>
          <w:sz w:val="20"/>
          <w:szCs w:val="20"/>
        </w:rPr>
        <w:t>the</w:t>
      </w:r>
      <w:r w:rsidRPr="00391523">
        <w:rPr>
          <w:spacing w:val="-12"/>
          <w:sz w:val="20"/>
          <w:szCs w:val="20"/>
        </w:rPr>
        <w:t xml:space="preserve"> </w:t>
      </w:r>
      <w:r w:rsidRPr="00391523">
        <w:rPr>
          <w:sz w:val="20"/>
          <w:szCs w:val="20"/>
        </w:rPr>
        <w:t>R32</w:t>
      </w:r>
      <w:r w:rsidRPr="00391523">
        <w:rPr>
          <w:spacing w:val="-11"/>
          <w:sz w:val="20"/>
          <w:szCs w:val="20"/>
        </w:rPr>
        <w:t xml:space="preserve"> </w:t>
      </w:r>
      <w:r w:rsidRPr="00391523">
        <w:rPr>
          <w:sz w:val="20"/>
          <w:szCs w:val="20"/>
        </w:rPr>
        <w:t>billion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fruitless</w:t>
      </w:r>
      <w:r w:rsidRPr="00391523">
        <w:rPr>
          <w:spacing w:val="-12"/>
          <w:sz w:val="20"/>
          <w:szCs w:val="20"/>
        </w:rPr>
        <w:t xml:space="preserve"> </w:t>
      </w:r>
      <w:r w:rsidRPr="00391523">
        <w:rPr>
          <w:sz w:val="20"/>
          <w:szCs w:val="20"/>
        </w:rPr>
        <w:t>and</w:t>
      </w:r>
      <w:r w:rsidRPr="00391523">
        <w:rPr>
          <w:spacing w:val="-12"/>
          <w:sz w:val="20"/>
          <w:szCs w:val="20"/>
        </w:rPr>
        <w:t xml:space="preserve"> </w:t>
      </w:r>
      <w:r w:rsidRPr="00391523">
        <w:rPr>
          <w:sz w:val="20"/>
          <w:szCs w:val="20"/>
        </w:rPr>
        <w:t>wasteful</w:t>
      </w:r>
      <w:r w:rsidRPr="00391523">
        <w:rPr>
          <w:spacing w:val="-12"/>
          <w:sz w:val="20"/>
          <w:szCs w:val="20"/>
        </w:rPr>
        <w:t xml:space="preserve"> </w:t>
      </w:r>
      <w:r w:rsidRPr="00391523">
        <w:rPr>
          <w:sz w:val="20"/>
          <w:szCs w:val="20"/>
        </w:rPr>
        <w:t>expenditure that municipalities placed under administration incurred in the 2019-20 financial year, as reflected in th</w:t>
      </w:r>
      <w:r w:rsidRPr="00391523">
        <w:rPr>
          <w:sz w:val="20"/>
          <w:szCs w:val="20"/>
        </w:rPr>
        <w:t>e Auditor-General’s Report, coupled with the regression of her</w:t>
      </w:r>
      <w:r w:rsidRPr="00391523">
        <w:rPr>
          <w:spacing w:val="-16"/>
          <w:sz w:val="20"/>
          <w:szCs w:val="20"/>
        </w:rPr>
        <w:t xml:space="preserve"> </w:t>
      </w:r>
      <w:r w:rsidRPr="00391523">
        <w:rPr>
          <w:sz w:val="20"/>
          <w:szCs w:val="20"/>
        </w:rPr>
        <w:t>department</w:t>
      </w:r>
      <w:r w:rsidRPr="00391523">
        <w:rPr>
          <w:spacing w:val="-16"/>
          <w:sz w:val="20"/>
          <w:szCs w:val="20"/>
        </w:rPr>
        <w:t xml:space="preserve"> </w:t>
      </w:r>
      <w:r w:rsidRPr="00391523">
        <w:rPr>
          <w:sz w:val="20"/>
          <w:szCs w:val="20"/>
        </w:rPr>
        <w:t>and</w:t>
      </w:r>
      <w:r w:rsidRPr="00391523">
        <w:rPr>
          <w:spacing w:val="-13"/>
          <w:sz w:val="20"/>
          <w:szCs w:val="20"/>
        </w:rPr>
        <w:t xml:space="preserve"> </w:t>
      </w:r>
      <w:r w:rsidRPr="00391523">
        <w:rPr>
          <w:sz w:val="20"/>
          <w:szCs w:val="20"/>
        </w:rPr>
        <w:t>its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entities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permeating</w:t>
      </w:r>
      <w:r w:rsidRPr="00391523">
        <w:rPr>
          <w:spacing w:val="-15"/>
          <w:sz w:val="20"/>
          <w:szCs w:val="20"/>
        </w:rPr>
        <w:t xml:space="preserve"> </w:t>
      </w:r>
      <w:r w:rsidRPr="00391523">
        <w:rPr>
          <w:sz w:val="20"/>
          <w:szCs w:val="20"/>
        </w:rPr>
        <w:t>across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municipalities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and</w:t>
      </w:r>
      <w:r w:rsidRPr="00391523">
        <w:rPr>
          <w:spacing w:val="-16"/>
          <w:sz w:val="20"/>
          <w:szCs w:val="20"/>
        </w:rPr>
        <w:t xml:space="preserve"> </w:t>
      </w:r>
      <w:r w:rsidRPr="00391523">
        <w:rPr>
          <w:sz w:val="20"/>
          <w:szCs w:val="20"/>
        </w:rPr>
        <w:t>metros;</w:t>
      </w:r>
      <w:r w:rsidRPr="00391523">
        <w:rPr>
          <w:spacing w:val="-13"/>
          <w:sz w:val="20"/>
          <w:szCs w:val="20"/>
        </w:rPr>
        <w:t xml:space="preserve"> </w:t>
      </w:r>
      <w:r w:rsidRPr="00391523">
        <w:rPr>
          <w:sz w:val="20"/>
          <w:szCs w:val="20"/>
        </w:rPr>
        <w:t>if</w:t>
      </w:r>
      <w:r w:rsidRPr="00391523">
        <w:rPr>
          <w:spacing w:val="-14"/>
          <w:sz w:val="20"/>
          <w:szCs w:val="20"/>
        </w:rPr>
        <w:t xml:space="preserve"> </w:t>
      </w:r>
      <w:r w:rsidRPr="00391523">
        <w:rPr>
          <w:sz w:val="20"/>
          <w:szCs w:val="20"/>
        </w:rPr>
        <w:t>not, why not; if so, what are the relevant details?</w:t>
      </w:r>
      <w:r w:rsidRPr="00391523">
        <w:rPr>
          <w:spacing w:val="-1"/>
          <w:sz w:val="20"/>
          <w:szCs w:val="20"/>
        </w:rPr>
        <w:t xml:space="preserve"> </w:t>
      </w:r>
      <w:r w:rsidRPr="00391523">
        <w:rPr>
          <w:sz w:val="20"/>
          <w:szCs w:val="20"/>
        </w:rPr>
        <w:t>NW3120E</w:t>
      </w:r>
    </w:p>
    <w:p w:rsidR="00590435" w:rsidRPr="00391523" w:rsidRDefault="00590435" w:rsidP="00391523">
      <w:pPr>
        <w:pStyle w:val="BodyText"/>
        <w:rPr>
          <w:sz w:val="20"/>
          <w:szCs w:val="20"/>
        </w:rPr>
      </w:pPr>
    </w:p>
    <w:p w:rsidR="00590435" w:rsidRPr="00391523" w:rsidRDefault="00391523" w:rsidP="00391523">
      <w:pPr>
        <w:pStyle w:val="Heading1"/>
        <w:rPr>
          <w:sz w:val="20"/>
          <w:szCs w:val="20"/>
        </w:rPr>
      </w:pPr>
      <w:r w:rsidRPr="00391523">
        <w:rPr>
          <w:sz w:val="20"/>
          <w:szCs w:val="20"/>
        </w:rPr>
        <w:t>REPLY:</w:t>
      </w:r>
    </w:p>
    <w:p w:rsidR="00590435" w:rsidRPr="00391523" w:rsidRDefault="00391523" w:rsidP="00391523">
      <w:pPr>
        <w:pStyle w:val="BodyText"/>
        <w:ind w:left="820" w:right="113"/>
        <w:rPr>
          <w:sz w:val="20"/>
          <w:szCs w:val="20"/>
        </w:rPr>
      </w:pPr>
      <w:r w:rsidRPr="00391523">
        <w:rPr>
          <w:sz w:val="20"/>
          <w:szCs w:val="20"/>
        </w:rPr>
        <w:t>Municipalities that were placed under administrations were required to develop financial recovery plans, which is aligned to four key pillars used to assess municipal sustainability namely: governance, institutional stability, financial management and serv</w:t>
      </w:r>
      <w:r w:rsidRPr="00391523">
        <w:rPr>
          <w:sz w:val="20"/>
          <w:szCs w:val="20"/>
        </w:rPr>
        <w:t>ice delivery. The aim is to address the financial distress of the municipalities by improving short and long-term financial sustainability.</w:t>
      </w:r>
    </w:p>
    <w:p w:rsidR="00590435" w:rsidRPr="00391523" w:rsidRDefault="00590435" w:rsidP="00391523">
      <w:pPr>
        <w:pStyle w:val="BodyText"/>
        <w:rPr>
          <w:sz w:val="20"/>
          <w:szCs w:val="20"/>
        </w:rPr>
      </w:pPr>
    </w:p>
    <w:p w:rsidR="00590435" w:rsidRPr="00391523" w:rsidRDefault="00391523" w:rsidP="00391523">
      <w:pPr>
        <w:pStyle w:val="BodyText"/>
        <w:ind w:left="820" w:right="114"/>
        <w:rPr>
          <w:sz w:val="20"/>
          <w:szCs w:val="20"/>
        </w:rPr>
      </w:pPr>
      <w:r w:rsidRPr="00391523">
        <w:rPr>
          <w:sz w:val="20"/>
          <w:szCs w:val="20"/>
        </w:rPr>
        <w:t>The Department, SALGA, National Treasury and provincial counterparts assist municipalities with development and imp</w:t>
      </w:r>
      <w:r w:rsidRPr="00391523">
        <w:rPr>
          <w:sz w:val="20"/>
          <w:szCs w:val="20"/>
        </w:rPr>
        <w:t>lementation of financial recovery plans in line with section 136 of the Municipal Finance Management Act (MFMA), section 139 of the Constitution of RSA and related prescripts, which places obligations</w:t>
      </w:r>
      <w:r w:rsidRPr="00391523">
        <w:rPr>
          <w:spacing w:val="-41"/>
          <w:sz w:val="20"/>
          <w:szCs w:val="20"/>
        </w:rPr>
        <w:t xml:space="preserve"> </w:t>
      </w:r>
      <w:r w:rsidRPr="00391523">
        <w:rPr>
          <w:sz w:val="20"/>
          <w:szCs w:val="20"/>
        </w:rPr>
        <w:t xml:space="preserve">on the national and provincial government to assist in </w:t>
      </w:r>
      <w:r w:rsidRPr="00391523">
        <w:rPr>
          <w:sz w:val="20"/>
          <w:szCs w:val="20"/>
        </w:rPr>
        <w:t>resolving financial problems in municipalities.</w:t>
      </w:r>
    </w:p>
    <w:p w:rsidR="00590435" w:rsidRPr="00391523" w:rsidRDefault="00391523" w:rsidP="00391523">
      <w:pPr>
        <w:pStyle w:val="BodyText"/>
        <w:ind w:left="820" w:right="123"/>
        <w:rPr>
          <w:sz w:val="20"/>
          <w:szCs w:val="20"/>
        </w:rPr>
      </w:pPr>
      <w:r w:rsidRPr="00391523">
        <w:rPr>
          <w:sz w:val="20"/>
          <w:szCs w:val="20"/>
        </w:rPr>
        <w:t xml:space="preserve">Recently, National Treasury and </w:t>
      </w:r>
      <w:proofErr w:type="spellStart"/>
      <w:r w:rsidRPr="00391523">
        <w:rPr>
          <w:sz w:val="20"/>
          <w:szCs w:val="20"/>
        </w:rPr>
        <w:t>CoGTA</w:t>
      </w:r>
      <w:proofErr w:type="spellEnd"/>
      <w:r w:rsidRPr="00391523">
        <w:rPr>
          <w:sz w:val="20"/>
          <w:szCs w:val="20"/>
        </w:rPr>
        <w:t xml:space="preserve"> have concluded </w:t>
      </w:r>
      <w:proofErr w:type="spellStart"/>
      <w:r w:rsidRPr="00391523">
        <w:rPr>
          <w:sz w:val="20"/>
          <w:szCs w:val="20"/>
        </w:rPr>
        <w:t>roadshows</w:t>
      </w:r>
      <w:proofErr w:type="spellEnd"/>
      <w:r w:rsidRPr="00391523">
        <w:rPr>
          <w:sz w:val="20"/>
          <w:szCs w:val="20"/>
        </w:rPr>
        <w:t xml:space="preserve"> in all nine provinces on the correct interpretation and implementation of S139 interventions. Provinces were alerted to the hierarchy</w:t>
      </w:r>
      <w:r w:rsidRPr="00391523">
        <w:rPr>
          <w:sz w:val="20"/>
          <w:szCs w:val="20"/>
        </w:rPr>
        <w:t xml:space="preserve"> of interventions provided for in the Constitution and the conditions that must exist for each type of intervention to be invoked.</w:t>
      </w:r>
    </w:p>
    <w:p w:rsidR="00590435" w:rsidRPr="00391523" w:rsidRDefault="00590435" w:rsidP="00391523">
      <w:pPr>
        <w:pStyle w:val="BodyText"/>
        <w:rPr>
          <w:sz w:val="20"/>
          <w:szCs w:val="20"/>
        </w:rPr>
      </w:pPr>
    </w:p>
    <w:p w:rsidR="00590435" w:rsidRPr="00391523" w:rsidRDefault="00391523" w:rsidP="00391523">
      <w:pPr>
        <w:pStyle w:val="BodyText"/>
        <w:ind w:left="820" w:right="115"/>
        <w:rPr>
          <w:sz w:val="20"/>
          <w:szCs w:val="20"/>
        </w:rPr>
      </w:pPr>
      <w:r w:rsidRPr="00391523">
        <w:rPr>
          <w:sz w:val="20"/>
          <w:szCs w:val="20"/>
        </w:rPr>
        <w:t xml:space="preserve">Neither the Department of COGTA nor any of its entities have regressed in </w:t>
      </w:r>
      <w:proofErr w:type="spellStart"/>
      <w:proofErr w:type="gramStart"/>
      <w:r w:rsidRPr="00391523">
        <w:rPr>
          <w:sz w:val="20"/>
          <w:szCs w:val="20"/>
        </w:rPr>
        <w:t>it’s</w:t>
      </w:r>
      <w:proofErr w:type="spellEnd"/>
      <w:proofErr w:type="gramEnd"/>
      <w:r w:rsidRPr="00391523">
        <w:rPr>
          <w:sz w:val="20"/>
          <w:szCs w:val="20"/>
        </w:rPr>
        <w:t xml:space="preserve"> audit findings. The department improved from </w:t>
      </w:r>
      <w:r w:rsidRPr="00391523">
        <w:rPr>
          <w:sz w:val="20"/>
          <w:szCs w:val="20"/>
        </w:rPr>
        <w:t>a disclaimer in 18/19 was, which improved to qualified audit outcome in 19/20, and again in 20/21 although the AG noted a reduction in the areas of qualification, specifically related to the CWP program. This is an indication that the department is on targ</w:t>
      </w:r>
      <w:r w:rsidRPr="00391523">
        <w:rPr>
          <w:sz w:val="20"/>
          <w:szCs w:val="20"/>
        </w:rPr>
        <w:t>et towards achieving an unqualified audit outcome.</w:t>
      </w:r>
    </w:p>
    <w:sectPr w:rsidR="00590435" w:rsidRPr="00391523" w:rsidSect="00590435">
      <w:pgSz w:w="12240" w:h="15840"/>
      <w:pgMar w:top="136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0435"/>
    <w:rsid w:val="00391523"/>
    <w:rsid w:val="0059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43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90435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4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0435"/>
  </w:style>
  <w:style w:type="paragraph" w:customStyle="1" w:styleId="TableParagraph">
    <w:name w:val="Table Paragraph"/>
    <w:basedOn w:val="Normal"/>
    <w:uiPriority w:val="1"/>
    <w:qFormat/>
    <w:rsid w:val="00590435"/>
  </w:style>
  <w:style w:type="paragraph" w:styleId="BalloonText">
    <w:name w:val="Balloon Text"/>
    <w:basedOn w:val="Normal"/>
    <w:link w:val="BalloonTextChar"/>
    <w:uiPriority w:val="99"/>
    <w:semiHidden/>
    <w:unhideWhenUsed/>
    <w:rsid w:val="00391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2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Choene  Maeta</dc:creator>
  <cp:lastModifiedBy>User</cp:lastModifiedBy>
  <cp:revision>2</cp:revision>
  <dcterms:created xsi:type="dcterms:W3CDTF">2022-01-26T18:15:00Z</dcterms:created>
  <dcterms:modified xsi:type="dcterms:W3CDTF">2022-01-27T09:33:00Z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