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CA0E36" w:rsidRDefault="00BE5AF9">
      <w:pPr>
        <w:pStyle w:val="Heading1"/>
        <w:jc w:val="center"/>
        <w:rPr>
          <w:sz w:val="24"/>
          <w:u w:val="single"/>
        </w:rPr>
      </w:pPr>
      <w:r w:rsidRPr="00CA0E36">
        <w:rPr>
          <w:sz w:val="24"/>
          <w:u w:val="single"/>
        </w:rPr>
        <w:t>N</w:t>
      </w:r>
      <w:r w:rsidR="007E6896">
        <w:rPr>
          <w:sz w:val="24"/>
          <w:u w:val="single"/>
        </w:rPr>
        <w:t>ATIONAL ASSEMBLY</w:t>
      </w:r>
    </w:p>
    <w:p w:rsidR="00E238C2" w:rsidRPr="00CA0E36" w:rsidRDefault="00E238C2">
      <w:pPr>
        <w:jc w:val="both"/>
        <w:rPr>
          <w:b/>
          <w:sz w:val="24"/>
          <w:u w:val="single"/>
        </w:rPr>
      </w:pPr>
    </w:p>
    <w:p w:rsidR="00E238C2" w:rsidRPr="0047454A" w:rsidRDefault="00E238C2">
      <w:pPr>
        <w:pStyle w:val="BodyText"/>
        <w:rPr>
          <w:b/>
          <w:bCs/>
          <w:sz w:val="24"/>
          <w:u w:val="single"/>
        </w:rPr>
      </w:pPr>
      <w:r w:rsidRPr="00CA0E36">
        <w:rPr>
          <w:b/>
          <w:bCs/>
          <w:sz w:val="24"/>
          <w:u w:val="single"/>
        </w:rPr>
        <w:t xml:space="preserve">FOR </w:t>
      </w:r>
      <w:r w:rsidR="001651E2">
        <w:rPr>
          <w:b/>
          <w:bCs/>
          <w:sz w:val="24"/>
          <w:u w:val="single"/>
        </w:rPr>
        <w:t xml:space="preserve">WRITTEN </w:t>
      </w:r>
      <w:r w:rsidRPr="00D50BCC">
        <w:rPr>
          <w:b/>
          <w:bCs/>
          <w:sz w:val="24"/>
          <w:u w:val="single"/>
        </w:rPr>
        <w:t>REPLY</w:t>
      </w:r>
    </w:p>
    <w:p w:rsidR="00E238C2" w:rsidRPr="0047454A" w:rsidRDefault="00E238C2">
      <w:pPr>
        <w:pStyle w:val="BodyText"/>
        <w:rPr>
          <w:b/>
          <w:bCs/>
          <w:sz w:val="24"/>
          <w:u w:val="single"/>
        </w:rPr>
      </w:pPr>
    </w:p>
    <w:p w:rsidR="00E238C2" w:rsidRPr="0047454A" w:rsidRDefault="005E1FBC">
      <w:pPr>
        <w:pStyle w:val="BodyText"/>
        <w:rPr>
          <w:b/>
          <w:bCs/>
          <w:sz w:val="24"/>
          <w:u w:val="single"/>
        </w:rPr>
      </w:pPr>
      <w:r w:rsidRPr="0047454A">
        <w:rPr>
          <w:b/>
          <w:bCs/>
          <w:sz w:val="24"/>
          <w:u w:val="single"/>
        </w:rPr>
        <w:t xml:space="preserve">QUESTION NO. </w:t>
      </w:r>
      <w:r w:rsidR="00C50944">
        <w:rPr>
          <w:b/>
          <w:bCs/>
          <w:sz w:val="24"/>
          <w:u w:val="single"/>
        </w:rPr>
        <w:t>2</w:t>
      </w:r>
      <w:r w:rsidR="00FB5A74">
        <w:rPr>
          <w:b/>
          <w:bCs/>
          <w:sz w:val="24"/>
          <w:u w:val="single"/>
        </w:rPr>
        <w:t>6</w:t>
      </w:r>
      <w:r w:rsidR="0063794C">
        <w:rPr>
          <w:b/>
          <w:bCs/>
          <w:sz w:val="24"/>
          <w:u w:val="single"/>
        </w:rPr>
        <w:t>37</w:t>
      </w:r>
    </w:p>
    <w:p w:rsidR="00E238C2" w:rsidRPr="007E6493" w:rsidRDefault="00E238C2">
      <w:pPr>
        <w:pStyle w:val="BodyText"/>
        <w:rPr>
          <w:b/>
          <w:bCs/>
          <w:sz w:val="24"/>
          <w:u w:val="single"/>
        </w:rPr>
      </w:pPr>
    </w:p>
    <w:p w:rsidR="00E238C2" w:rsidRPr="00F14236" w:rsidRDefault="00E238C2">
      <w:pPr>
        <w:pStyle w:val="BodyText"/>
        <w:rPr>
          <w:b/>
          <w:bCs/>
          <w:sz w:val="24"/>
          <w:u w:val="single"/>
        </w:rPr>
      </w:pPr>
      <w:r w:rsidRPr="007E6493">
        <w:rPr>
          <w:b/>
          <w:bCs/>
          <w:sz w:val="24"/>
          <w:u w:val="single"/>
        </w:rPr>
        <w:t>DATE OF PUBLICATION IN INTERNAL QU</w:t>
      </w:r>
      <w:r w:rsidRPr="00F14236">
        <w:rPr>
          <w:b/>
          <w:bCs/>
          <w:sz w:val="24"/>
          <w:u w:val="single"/>
        </w:rPr>
        <w:t xml:space="preserve">ESTION PAPER: </w:t>
      </w:r>
      <w:r w:rsidR="0063794C">
        <w:rPr>
          <w:b/>
          <w:bCs/>
          <w:sz w:val="24"/>
          <w:u w:val="single"/>
        </w:rPr>
        <w:t>31</w:t>
      </w:r>
      <w:r w:rsidR="00C50944">
        <w:rPr>
          <w:b/>
          <w:bCs/>
          <w:sz w:val="24"/>
          <w:u w:val="single"/>
        </w:rPr>
        <w:t xml:space="preserve"> JULY </w:t>
      </w:r>
      <w:r w:rsidRPr="00F14236">
        <w:rPr>
          <w:b/>
          <w:bCs/>
          <w:sz w:val="24"/>
          <w:u w:val="single"/>
        </w:rPr>
        <w:t>20</w:t>
      </w:r>
      <w:r w:rsidR="005E1FBC" w:rsidRPr="00F14236">
        <w:rPr>
          <w:b/>
          <w:bCs/>
          <w:sz w:val="24"/>
          <w:u w:val="single"/>
        </w:rPr>
        <w:t>1</w:t>
      </w:r>
      <w:r w:rsidR="006779D4" w:rsidRPr="00F14236">
        <w:rPr>
          <w:b/>
          <w:bCs/>
          <w:sz w:val="24"/>
          <w:u w:val="single"/>
        </w:rPr>
        <w:t>5</w:t>
      </w:r>
      <w:r w:rsidRPr="00F14236">
        <w:rPr>
          <w:b/>
          <w:bCs/>
          <w:sz w:val="24"/>
          <w:u w:val="single"/>
        </w:rPr>
        <w:t xml:space="preserve">   </w:t>
      </w:r>
    </w:p>
    <w:p w:rsidR="00E238C2" w:rsidRPr="00C50944" w:rsidRDefault="00E238C2" w:rsidP="006664AE">
      <w:pPr>
        <w:spacing w:after="240"/>
        <w:rPr>
          <w:b/>
          <w:bCs/>
          <w:sz w:val="24"/>
          <w:u w:val="single"/>
        </w:rPr>
      </w:pPr>
      <w:r w:rsidRPr="00F14236">
        <w:rPr>
          <w:b/>
          <w:bCs/>
          <w:sz w:val="24"/>
          <w:u w:val="single"/>
        </w:rPr>
        <w:t>(INTERNAL QUESTION PAPER NO</w:t>
      </w:r>
      <w:r w:rsidRPr="00C50944">
        <w:rPr>
          <w:b/>
          <w:bCs/>
          <w:sz w:val="24"/>
          <w:u w:val="single"/>
        </w:rPr>
        <w:t xml:space="preserve">. </w:t>
      </w:r>
      <w:r w:rsidR="00C50944" w:rsidRPr="00C50944">
        <w:rPr>
          <w:b/>
          <w:bCs/>
          <w:sz w:val="24"/>
          <w:u w:val="single"/>
        </w:rPr>
        <w:t>2</w:t>
      </w:r>
      <w:r w:rsidR="0063794C">
        <w:rPr>
          <w:b/>
          <w:bCs/>
          <w:sz w:val="24"/>
          <w:u w:val="single"/>
        </w:rPr>
        <w:t>6</w:t>
      </w:r>
      <w:r w:rsidRPr="00C50944">
        <w:rPr>
          <w:b/>
          <w:bCs/>
          <w:sz w:val="24"/>
          <w:u w:val="single"/>
        </w:rPr>
        <w:t>)</w:t>
      </w:r>
    </w:p>
    <w:p w:rsidR="0063794C" w:rsidRPr="0063794C" w:rsidRDefault="0063794C" w:rsidP="0063794C">
      <w:pPr>
        <w:spacing w:before="100" w:beforeAutospacing="1" w:after="100" w:afterAutospacing="1"/>
        <w:jc w:val="both"/>
        <w:outlineLvl w:val="0"/>
        <w:rPr>
          <w:b/>
          <w:sz w:val="24"/>
          <w:u w:val="single"/>
        </w:rPr>
      </w:pPr>
      <w:r w:rsidRPr="0063794C">
        <w:rPr>
          <w:b/>
          <w:sz w:val="24"/>
          <w:u w:val="single"/>
        </w:rPr>
        <w:t>Mrs C Dudley (ACDP) to ask the Minister of Health:</w:t>
      </w:r>
    </w:p>
    <w:p w:rsidR="0063794C" w:rsidRPr="0063794C" w:rsidRDefault="0063794C" w:rsidP="0063794C">
      <w:pPr>
        <w:pStyle w:val="NormalWeb"/>
        <w:ind w:left="720" w:hanging="720"/>
        <w:jc w:val="both"/>
        <w:rPr>
          <w:rFonts w:ascii="Arial" w:hAnsi="Arial" w:cs="Arial"/>
          <w:color w:val="000000"/>
        </w:rPr>
      </w:pPr>
      <w:r w:rsidRPr="0063794C">
        <w:rPr>
          <w:rFonts w:ascii="Arial" w:hAnsi="Arial" w:cs="Arial"/>
          <w:color w:val="000000"/>
        </w:rPr>
        <w:t>(1)</w:t>
      </w:r>
      <w:r w:rsidRPr="0063794C">
        <w:rPr>
          <w:rFonts w:ascii="Arial" w:hAnsi="Arial" w:cs="Arial"/>
          <w:color w:val="000000"/>
        </w:rPr>
        <w:tab/>
        <w:t xml:space="preserve">What is his department’s policy and regulations regarding the disposal of foetuses in (a) public hospitals and (b) abortion </w:t>
      </w:r>
      <w:proofErr w:type="gramStart"/>
      <w:r w:rsidRPr="0063794C">
        <w:rPr>
          <w:rFonts w:ascii="Arial" w:hAnsi="Arial" w:cs="Arial"/>
          <w:color w:val="000000"/>
        </w:rPr>
        <w:t>clinics;</w:t>
      </w:r>
      <w:proofErr w:type="gramEnd"/>
    </w:p>
    <w:p w:rsidR="0063794C" w:rsidRPr="0063794C" w:rsidRDefault="0063794C" w:rsidP="0063794C">
      <w:pPr>
        <w:pStyle w:val="NormalWeb"/>
        <w:ind w:left="720" w:hanging="720"/>
        <w:jc w:val="both"/>
        <w:rPr>
          <w:rFonts w:ascii="Arial" w:hAnsi="Arial" w:cs="Arial"/>
          <w:color w:val="000000"/>
        </w:rPr>
      </w:pPr>
      <w:r w:rsidRPr="0063794C">
        <w:rPr>
          <w:rFonts w:ascii="Arial" w:hAnsi="Arial" w:cs="Arial"/>
          <w:color w:val="000000"/>
        </w:rPr>
        <w:t>(2)</w:t>
      </w:r>
      <w:r w:rsidRPr="0063794C">
        <w:rPr>
          <w:rFonts w:ascii="Arial" w:hAnsi="Arial" w:cs="Arial"/>
          <w:color w:val="000000"/>
        </w:rPr>
        <w:tab/>
      </w:r>
      <w:proofErr w:type="gramStart"/>
      <w:r w:rsidRPr="0063794C">
        <w:rPr>
          <w:rFonts w:ascii="Arial" w:hAnsi="Arial" w:cs="Arial"/>
          <w:color w:val="000000"/>
        </w:rPr>
        <w:t>which</w:t>
      </w:r>
      <w:proofErr w:type="gramEnd"/>
      <w:r w:rsidRPr="0063794C">
        <w:rPr>
          <w:rFonts w:ascii="Arial" w:hAnsi="Arial" w:cs="Arial"/>
          <w:color w:val="000000"/>
        </w:rPr>
        <w:t xml:space="preserve"> companies in each of the provinces have contracts to dispose of foetuses aborted at (a) public hospitals and (b) clinics.</w:t>
      </w:r>
    </w:p>
    <w:p w:rsidR="00721839" w:rsidRPr="00C50944" w:rsidRDefault="0063794C" w:rsidP="0063794C">
      <w:pPr>
        <w:pStyle w:val="ListParagraph"/>
        <w:spacing w:after="240"/>
        <w:ind w:hanging="720"/>
        <w:contextualSpacing w:val="0"/>
        <w:jc w:val="both"/>
        <w:rPr>
          <w:sz w:val="24"/>
        </w:rPr>
      </w:pPr>
      <w:r w:rsidRPr="0063794C">
        <w:rPr>
          <w:color w:val="000000"/>
          <w:sz w:val="24"/>
        </w:rPr>
        <w:t>(3)</w:t>
      </w:r>
      <w:r w:rsidRPr="0063794C">
        <w:rPr>
          <w:color w:val="000000"/>
          <w:sz w:val="24"/>
        </w:rPr>
        <w:tab/>
        <w:t>(</w:t>
      </w:r>
      <w:proofErr w:type="gramStart"/>
      <w:r w:rsidRPr="0063794C">
        <w:rPr>
          <w:color w:val="000000"/>
          <w:sz w:val="24"/>
        </w:rPr>
        <w:t>a</w:t>
      </w:r>
      <w:proofErr w:type="gramEnd"/>
      <w:r w:rsidRPr="0063794C">
        <w:rPr>
          <w:color w:val="000000"/>
          <w:sz w:val="24"/>
        </w:rPr>
        <w:t>) what are the laws and regulations regarding foetuses being used for experimental purposes and (b) how is this practice monitored?</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63794C">
        <w:rPr>
          <w:color w:val="000000"/>
        </w:rPr>
        <w:t>3014</w:t>
      </w:r>
      <w:r w:rsidR="009D2E42">
        <w:rPr>
          <w:color w:val="000000"/>
        </w:rPr>
        <w:t>E</w:t>
      </w:r>
      <w:r w:rsidR="00E238C2">
        <w:rPr>
          <w:color w:val="000000"/>
          <w:szCs w:val="20"/>
        </w:rPr>
        <w:t xml:space="preserve"> </w:t>
      </w:r>
    </w:p>
    <w:p w:rsidR="00E238C2" w:rsidRPr="00C41194" w:rsidRDefault="00E238C2" w:rsidP="00C41194">
      <w:pPr>
        <w:rPr>
          <w:b/>
          <w:bCs/>
          <w:sz w:val="24"/>
          <w:u w:val="single"/>
          <w:lang w:val="en-US"/>
        </w:rPr>
      </w:pPr>
      <w:r w:rsidRPr="00C41194">
        <w:rPr>
          <w:b/>
          <w:bCs/>
          <w:sz w:val="24"/>
          <w:u w:val="single"/>
          <w:lang w:val="en-US"/>
        </w:rPr>
        <w:t>REPLY:</w:t>
      </w:r>
    </w:p>
    <w:p w:rsidR="00045AC2" w:rsidRDefault="00045AC2" w:rsidP="00045AC2">
      <w:pPr>
        <w:numPr>
          <w:ilvl w:val="0"/>
          <w:numId w:val="35"/>
        </w:numPr>
        <w:spacing w:before="240"/>
        <w:ind w:hanging="720"/>
        <w:jc w:val="both"/>
        <w:rPr>
          <w:sz w:val="24"/>
          <w:lang w:val="en-ZA"/>
        </w:rPr>
      </w:pPr>
      <w:r>
        <w:rPr>
          <w:sz w:val="24"/>
          <w:lang w:val="en-ZA"/>
        </w:rPr>
        <w:t>Public Hospitals use the following regulations as stipulated in the National Health Act No. 61 of 2003 to dispose of foetuses:</w:t>
      </w:r>
    </w:p>
    <w:p w:rsidR="00045AC2" w:rsidRDefault="00045AC2" w:rsidP="00045AC2">
      <w:pPr>
        <w:pStyle w:val="ListParagraph"/>
        <w:numPr>
          <w:ilvl w:val="0"/>
          <w:numId w:val="32"/>
        </w:numPr>
        <w:spacing w:before="240"/>
        <w:ind w:hanging="578"/>
        <w:contextualSpacing w:val="0"/>
        <w:jc w:val="both"/>
        <w:rPr>
          <w:sz w:val="24"/>
          <w:lang w:val="en-ZA"/>
        </w:rPr>
      </w:pPr>
      <w:r>
        <w:rPr>
          <w:b/>
          <w:sz w:val="24"/>
          <w:lang w:val="en-ZA"/>
        </w:rPr>
        <w:t>R. 177 Regulations relating to the use of human biological material Section 2.</w:t>
      </w:r>
      <w:r>
        <w:rPr>
          <w:sz w:val="24"/>
          <w:lang w:val="en-ZA"/>
        </w:rPr>
        <w:t xml:space="preserve"> In terms of section 68 of the Act, - regulates who should remove human biological material from health institutions.</w:t>
      </w:r>
    </w:p>
    <w:p w:rsidR="00045AC2" w:rsidRDefault="00045AC2" w:rsidP="00045AC2">
      <w:pPr>
        <w:pStyle w:val="ListParagraph"/>
        <w:numPr>
          <w:ilvl w:val="0"/>
          <w:numId w:val="32"/>
        </w:numPr>
        <w:spacing w:before="240"/>
        <w:ind w:hanging="578"/>
        <w:contextualSpacing w:val="0"/>
        <w:jc w:val="both"/>
        <w:rPr>
          <w:sz w:val="24"/>
          <w:lang w:val="en-ZA"/>
        </w:rPr>
      </w:pPr>
      <w:r w:rsidRPr="00045AC2">
        <w:rPr>
          <w:b/>
          <w:sz w:val="24"/>
          <w:lang w:val="en-ZA"/>
        </w:rPr>
        <w:t>R. 180 Regulations regarding the general control of human bodies, tissue, blood, blood products and gametes, Section 68(1)</w:t>
      </w:r>
      <w:r w:rsidRPr="00045AC2">
        <w:rPr>
          <w:sz w:val="24"/>
          <w:lang w:val="en-ZA"/>
        </w:rPr>
        <w:t xml:space="preserve"> – regulates handling of deceased bodies/human biological material.</w:t>
      </w:r>
    </w:p>
    <w:p w:rsidR="00045AC2" w:rsidRPr="00045AC2" w:rsidRDefault="00045AC2" w:rsidP="00045AC2">
      <w:pPr>
        <w:pStyle w:val="ListParagraph"/>
        <w:numPr>
          <w:ilvl w:val="0"/>
          <w:numId w:val="32"/>
        </w:numPr>
        <w:spacing w:before="240"/>
        <w:ind w:hanging="578"/>
        <w:contextualSpacing w:val="0"/>
        <w:jc w:val="both"/>
        <w:rPr>
          <w:sz w:val="24"/>
          <w:lang w:val="en-ZA"/>
        </w:rPr>
      </w:pPr>
      <w:r w:rsidRPr="00045AC2">
        <w:rPr>
          <w:b/>
          <w:sz w:val="24"/>
          <w:lang w:val="en-ZA"/>
        </w:rPr>
        <w:t xml:space="preserve">R. No. </w:t>
      </w:r>
      <w:proofErr w:type="gramStart"/>
      <w:r w:rsidRPr="00045AC2">
        <w:rPr>
          <w:b/>
          <w:sz w:val="24"/>
          <w:lang w:val="en-ZA"/>
        </w:rPr>
        <w:t>Regulations relating to health care waste management in health establishments</w:t>
      </w:r>
      <w:r w:rsidRPr="00045AC2">
        <w:rPr>
          <w:sz w:val="24"/>
          <w:lang w:val="en-ZA"/>
        </w:rPr>
        <w:t xml:space="preserve"> – the Environmental Health Directorate within the National Department of Health has</w:t>
      </w:r>
      <w:proofErr w:type="gramEnd"/>
      <w:r w:rsidRPr="00045AC2">
        <w:rPr>
          <w:sz w:val="24"/>
          <w:lang w:val="en-ZA"/>
        </w:rPr>
        <w:t xml:space="preserve"> developed the above mentioned regulation and it has just been approved.</w:t>
      </w:r>
    </w:p>
    <w:p w:rsidR="00045AC2" w:rsidRDefault="00045AC2" w:rsidP="00045AC2">
      <w:pPr>
        <w:numPr>
          <w:ilvl w:val="0"/>
          <w:numId w:val="35"/>
        </w:numPr>
        <w:spacing w:before="240"/>
        <w:ind w:hanging="720"/>
        <w:jc w:val="both"/>
        <w:rPr>
          <w:sz w:val="24"/>
          <w:lang w:val="en-ZA"/>
        </w:rPr>
      </w:pPr>
      <w:r>
        <w:rPr>
          <w:sz w:val="24"/>
          <w:lang w:val="en-ZA"/>
        </w:rPr>
        <w:t>(a)-(b)</w:t>
      </w:r>
      <w:r>
        <w:rPr>
          <w:sz w:val="24"/>
          <w:lang w:val="en-ZA"/>
        </w:rPr>
        <w:tab/>
        <w:t>Contracted companies for disposal of foetuses in both public hospitals and abortion clinics are:</w:t>
      </w:r>
    </w:p>
    <w:p w:rsidR="00045AC2" w:rsidRDefault="00045AC2" w:rsidP="00045AC2">
      <w:pPr>
        <w:tabs>
          <w:tab w:val="left" w:pos="993"/>
        </w:tabs>
        <w:ind w:left="567" w:hanging="567"/>
        <w:jc w:val="both"/>
        <w:rPr>
          <w:sz w:val="24"/>
          <w:lang w:val="en-Z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95"/>
      </w:tblGrid>
      <w:tr w:rsidR="00045AC2" w:rsidTr="00045AC2">
        <w:tc>
          <w:tcPr>
            <w:tcW w:w="3402" w:type="dxa"/>
          </w:tcPr>
          <w:p w:rsidR="00045AC2" w:rsidRPr="00045AC2" w:rsidRDefault="00045AC2" w:rsidP="00045AC2">
            <w:pPr>
              <w:tabs>
                <w:tab w:val="left" w:pos="993"/>
              </w:tabs>
              <w:jc w:val="center"/>
              <w:rPr>
                <w:b/>
                <w:sz w:val="24"/>
                <w:lang w:val="en-ZA"/>
              </w:rPr>
            </w:pPr>
            <w:r w:rsidRPr="00045AC2">
              <w:rPr>
                <w:b/>
                <w:sz w:val="24"/>
                <w:lang w:val="en-ZA"/>
              </w:rPr>
              <w:t xml:space="preserve">Province </w:t>
            </w:r>
          </w:p>
        </w:tc>
        <w:tc>
          <w:tcPr>
            <w:tcW w:w="6095" w:type="dxa"/>
          </w:tcPr>
          <w:p w:rsidR="00045AC2" w:rsidRPr="00045AC2" w:rsidRDefault="00045AC2" w:rsidP="00045AC2">
            <w:pPr>
              <w:tabs>
                <w:tab w:val="left" w:pos="993"/>
              </w:tabs>
              <w:jc w:val="center"/>
              <w:rPr>
                <w:b/>
                <w:sz w:val="24"/>
                <w:lang w:val="en-ZA"/>
              </w:rPr>
            </w:pPr>
            <w:r w:rsidRPr="00045AC2">
              <w:rPr>
                <w:b/>
                <w:sz w:val="24"/>
                <w:lang w:val="en-ZA"/>
              </w:rPr>
              <w:t>Company</w:t>
            </w:r>
          </w:p>
        </w:tc>
      </w:tr>
      <w:tr w:rsidR="00045AC2" w:rsidTr="00045AC2">
        <w:tc>
          <w:tcPr>
            <w:tcW w:w="3402" w:type="dxa"/>
          </w:tcPr>
          <w:p w:rsidR="00045AC2" w:rsidRPr="00045AC2" w:rsidRDefault="00045AC2" w:rsidP="00045AC2">
            <w:pPr>
              <w:tabs>
                <w:tab w:val="left" w:pos="993"/>
              </w:tabs>
              <w:jc w:val="both"/>
              <w:rPr>
                <w:sz w:val="24"/>
                <w:lang w:val="en-ZA"/>
              </w:rPr>
            </w:pPr>
            <w:smartTag w:uri="urn:schemas-microsoft-com:office:smarttags" w:element="State">
              <w:smartTag w:uri="urn:schemas-microsoft-com:office:smarttags" w:element="place">
                <w:r w:rsidRPr="00045AC2">
                  <w:rPr>
                    <w:sz w:val="24"/>
                    <w:lang w:val="en-ZA"/>
                  </w:rPr>
                  <w:t>Eastern Cape</w:t>
                </w:r>
              </w:smartTag>
            </w:smartTag>
            <w:r w:rsidRPr="00045AC2">
              <w:rPr>
                <w:sz w:val="24"/>
                <w:lang w:val="en-ZA"/>
              </w:rPr>
              <w:t xml:space="preserve"> </w:t>
            </w:r>
          </w:p>
        </w:tc>
        <w:tc>
          <w:tcPr>
            <w:tcW w:w="6095" w:type="dxa"/>
          </w:tcPr>
          <w:p w:rsidR="00045AC2" w:rsidRPr="00045AC2" w:rsidRDefault="00045AC2" w:rsidP="00045AC2">
            <w:pPr>
              <w:tabs>
                <w:tab w:val="left" w:pos="993"/>
              </w:tabs>
              <w:jc w:val="both"/>
              <w:rPr>
                <w:sz w:val="24"/>
                <w:lang w:val="en-ZA"/>
              </w:rPr>
            </w:pPr>
            <w:r w:rsidRPr="00045AC2">
              <w:rPr>
                <w:sz w:val="24"/>
                <w:lang w:val="en-ZA"/>
              </w:rPr>
              <w:t xml:space="preserve">Compass Waste Management Services </w:t>
            </w:r>
          </w:p>
        </w:tc>
      </w:tr>
      <w:tr w:rsidR="00045AC2" w:rsidTr="00045AC2">
        <w:tc>
          <w:tcPr>
            <w:tcW w:w="3402" w:type="dxa"/>
          </w:tcPr>
          <w:p w:rsidR="00045AC2" w:rsidRPr="00045AC2" w:rsidRDefault="00045AC2" w:rsidP="00045AC2">
            <w:pPr>
              <w:tabs>
                <w:tab w:val="left" w:pos="993"/>
              </w:tabs>
              <w:jc w:val="both"/>
              <w:rPr>
                <w:sz w:val="24"/>
                <w:lang w:val="en-ZA"/>
              </w:rPr>
            </w:pPr>
            <w:smartTag w:uri="urn:schemas-microsoft-com:office:smarttags" w:element="State">
              <w:smartTag w:uri="urn:schemas-microsoft-com:office:smarttags" w:element="place">
                <w:r w:rsidRPr="00045AC2">
                  <w:rPr>
                    <w:sz w:val="24"/>
                    <w:lang w:val="en-ZA"/>
                  </w:rPr>
                  <w:t>Free State</w:t>
                </w:r>
              </w:smartTag>
            </w:smartTag>
            <w:r w:rsidRPr="00045AC2">
              <w:rPr>
                <w:sz w:val="24"/>
                <w:lang w:val="en-ZA"/>
              </w:rPr>
              <w:t xml:space="preserve"> </w:t>
            </w:r>
          </w:p>
        </w:tc>
        <w:tc>
          <w:tcPr>
            <w:tcW w:w="6095" w:type="dxa"/>
          </w:tcPr>
          <w:p w:rsidR="00045AC2" w:rsidRPr="00045AC2" w:rsidRDefault="00045AC2" w:rsidP="00045AC2">
            <w:pPr>
              <w:tabs>
                <w:tab w:val="left" w:pos="993"/>
              </w:tabs>
              <w:jc w:val="both"/>
              <w:rPr>
                <w:sz w:val="24"/>
                <w:lang w:val="en-ZA"/>
              </w:rPr>
            </w:pPr>
            <w:r w:rsidRPr="00045AC2">
              <w:rPr>
                <w:sz w:val="24"/>
                <w:lang w:val="en-ZA"/>
              </w:rPr>
              <w:t xml:space="preserve">Solid Waste Management Services </w:t>
            </w:r>
          </w:p>
        </w:tc>
      </w:tr>
      <w:tr w:rsidR="00045AC2" w:rsidTr="00045AC2">
        <w:tc>
          <w:tcPr>
            <w:tcW w:w="3402" w:type="dxa"/>
          </w:tcPr>
          <w:p w:rsidR="00045AC2" w:rsidRPr="00045AC2" w:rsidRDefault="00045AC2" w:rsidP="00045AC2">
            <w:pPr>
              <w:tabs>
                <w:tab w:val="left" w:pos="993"/>
              </w:tabs>
              <w:jc w:val="both"/>
              <w:rPr>
                <w:sz w:val="24"/>
                <w:lang w:val="en-ZA"/>
              </w:rPr>
            </w:pPr>
            <w:smartTag w:uri="urn:schemas-microsoft-com:office:smarttags" w:element="State">
              <w:smartTag w:uri="urn:schemas-microsoft-com:office:smarttags" w:element="place">
                <w:r w:rsidRPr="00045AC2">
                  <w:rPr>
                    <w:sz w:val="24"/>
                    <w:lang w:val="en-ZA"/>
                  </w:rPr>
                  <w:t>Gauteng</w:t>
                </w:r>
              </w:smartTag>
            </w:smartTag>
            <w:r w:rsidRPr="00045AC2">
              <w:rPr>
                <w:sz w:val="24"/>
                <w:lang w:val="en-ZA"/>
              </w:rPr>
              <w:t xml:space="preserve"> </w:t>
            </w:r>
          </w:p>
        </w:tc>
        <w:tc>
          <w:tcPr>
            <w:tcW w:w="6095" w:type="dxa"/>
          </w:tcPr>
          <w:p w:rsidR="00045AC2" w:rsidRPr="00045AC2" w:rsidRDefault="00045AC2" w:rsidP="00045AC2">
            <w:pPr>
              <w:tabs>
                <w:tab w:val="left" w:pos="993"/>
              </w:tabs>
              <w:jc w:val="both"/>
              <w:rPr>
                <w:sz w:val="24"/>
                <w:lang w:val="en-ZA"/>
              </w:rPr>
            </w:pPr>
            <w:r w:rsidRPr="00045AC2">
              <w:rPr>
                <w:sz w:val="24"/>
                <w:lang w:val="en-ZA"/>
              </w:rPr>
              <w:t xml:space="preserve">Buhle Waste Management Services </w:t>
            </w:r>
          </w:p>
        </w:tc>
      </w:tr>
      <w:tr w:rsidR="00045AC2" w:rsidTr="00045AC2">
        <w:tc>
          <w:tcPr>
            <w:tcW w:w="3402" w:type="dxa"/>
          </w:tcPr>
          <w:p w:rsidR="00045AC2" w:rsidRPr="00045AC2" w:rsidRDefault="00045AC2" w:rsidP="00045AC2">
            <w:pPr>
              <w:tabs>
                <w:tab w:val="left" w:pos="993"/>
              </w:tabs>
              <w:jc w:val="both"/>
              <w:rPr>
                <w:sz w:val="24"/>
                <w:lang w:val="en-ZA"/>
              </w:rPr>
            </w:pPr>
            <w:smartTag w:uri="urn:schemas-microsoft-com:office:smarttags" w:element="State">
              <w:smartTag w:uri="urn:schemas-microsoft-com:office:smarttags" w:element="place">
                <w:r w:rsidRPr="00045AC2">
                  <w:rPr>
                    <w:sz w:val="24"/>
                    <w:lang w:val="en-ZA"/>
                  </w:rPr>
                  <w:t>KwaZulu-Natal</w:t>
                </w:r>
              </w:smartTag>
            </w:smartTag>
            <w:r w:rsidRPr="00045AC2">
              <w:rPr>
                <w:sz w:val="24"/>
                <w:lang w:val="en-ZA"/>
              </w:rPr>
              <w:t xml:space="preserve"> </w:t>
            </w:r>
          </w:p>
        </w:tc>
        <w:tc>
          <w:tcPr>
            <w:tcW w:w="6095" w:type="dxa"/>
          </w:tcPr>
          <w:p w:rsidR="00045AC2" w:rsidRPr="00045AC2" w:rsidRDefault="00045AC2" w:rsidP="00045AC2">
            <w:pPr>
              <w:tabs>
                <w:tab w:val="left" w:pos="993"/>
              </w:tabs>
              <w:jc w:val="both"/>
              <w:rPr>
                <w:sz w:val="24"/>
                <w:lang w:val="en-ZA"/>
              </w:rPr>
            </w:pPr>
            <w:r w:rsidRPr="00045AC2">
              <w:rPr>
                <w:sz w:val="24"/>
                <w:lang w:val="en-ZA"/>
              </w:rPr>
              <w:t xml:space="preserve">Compass Waste Management Services </w:t>
            </w:r>
          </w:p>
        </w:tc>
      </w:tr>
      <w:tr w:rsidR="00045AC2" w:rsidTr="00045AC2">
        <w:tc>
          <w:tcPr>
            <w:tcW w:w="3402" w:type="dxa"/>
          </w:tcPr>
          <w:p w:rsidR="00045AC2" w:rsidRPr="00045AC2" w:rsidRDefault="00045AC2" w:rsidP="00045AC2">
            <w:pPr>
              <w:tabs>
                <w:tab w:val="left" w:pos="993"/>
              </w:tabs>
              <w:jc w:val="both"/>
              <w:rPr>
                <w:sz w:val="24"/>
                <w:lang w:val="en-ZA"/>
              </w:rPr>
            </w:pPr>
            <w:smartTag w:uri="urn:schemas-microsoft-com:office:smarttags" w:element="place">
              <w:r w:rsidRPr="00045AC2">
                <w:rPr>
                  <w:sz w:val="24"/>
                  <w:lang w:val="en-ZA"/>
                </w:rPr>
                <w:t>Limpopo</w:t>
              </w:r>
            </w:smartTag>
          </w:p>
        </w:tc>
        <w:tc>
          <w:tcPr>
            <w:tcW w:w="6095" w:type="dxa"/>
          </w:tcPr>
          <w:p w:rsidR="00045AC2" w:rsidRPr="00045AC2" w:rsidRDefault="00045AC2" w:rsidP="00045AC2">
            <w:pPr>
              <w:tabs>
                <w:tab w:val="left" w:pos="993"/>
              </w:tabs>
              <w:jc w:val="both"/>
              <w:rPr>
                <w:sz w:val="24"/>
                <w:lang w:val="en-ZA"/>
              </w:rPr>
            </w:pPr>
            <w:r w:rsidRPr="00045AC2">
              <w:rPr>
                <w:sz w:val="24"/>
                <w:lang w:val="en-ZA"/>
              </w:rPr>
              <w:t>Buhle Waste Management Services</w:t>
            </w:r>
          </w:p>
        </w:tc>
      </w:tr>
      <w:tr w:rsidR="00045AC2" w:rsidTr="00045AC2">
        <w:tc>
          <w:tcPr>
            <w:tcW w:w="3402" w:type="dxa"/>
          </w:tcPr>
          <w:p w:rsidR="00045AC2" w:rsidRPr="00045AC2" w:rsidRDefault="00045AC2" w:rsidP="00045AC2">
            <w:pPr>
              <w:tabs>
                <w:tab w:val="left" w:pos="993"/>
              </w:tabs>
              <w:jc w:val="both"/>
              <w:rPr>
                <w:sz w:val="24"/>
                <w:lang w:val="en-ZA"/>
              </w:rPr>
            </w:pPr>
            <w:smartTag w:uri="urn:schemas-microsoft-com:office:smarttags" w:element="State">
              <w:smartTag w:uri="urn:schemas-microsoft-com:office:smarttags" w:element="place">
                <w:r w:rsidRPr="00045AC2">
                  <w:rPr>
                    <w:sz w:val="24"/>
                    <w:lang w:val="en-ZA"/>
                  </w:rPr>
                  <w:t>Mpumalanga</w:t>
                </w:r>
              </w:smartTag>
            </w:smartTag>
            <w:r w:rsidRPr="00045AC2">
              <w:rPr>
                <w:sz w:val="24"/>
                <w:lang w:val="en-ZA"/>
              </w:rPr>
              <w:t xml:space="preserve"> </w:t>
            </w:r>
          </w:p>
        </w:tc>
        <w:tc>
          <w:tcPr>
            <w:tcW w:w="6095" w:type="dxa"/>
          </w:tcPr>
          <w:p w:rsidR="00045AC2" w:rsidRPr="00045AC2" w:rsidRDefault="00045AC2" w:rsidP="00045AC2">
            <w:pPr>
              <w:tabs>
                <w:tab w:val="left" w:pos="993"/>
              </w:tabs>
              <w:jc w:val="both"/>
              <w:rPr>
                <w:sz w:val="24"/>
                <w:lang w:val="en-ZA"/>
              </w:rPr>
            </w:pPr>
            <w:r w:rsidRPr="00045AC2">
              <w:rPr>
                <w:sz w:val="24"/>
                <w:lang w:val="en-ZA"/>
              </w:rPr>
              <w:t>Buhle Waste Management Services</w:t>
            </w:r>
          </w:p>
        </w:tc>
      </w:tr>
      <w:tr w:rsidR="00045AC2" w:rsidTr="00045AC2">
        <w:tc>
          <w:tcPr>
            <w:tcW w:w="3402" w:type="dxa"/>
          </w:tcPr>
          <w:p w:rsidR="00045AC2" w:rsidRPr="00045AC2" w:rsidRDefault="00045AC2" w:rsidP="00045AC2">
            <w:pPr>
              <w:tabs>
                <w:tab w:val="left" w:pos="993"/>
              </w:tabs>
              <w:jc w:val="both"/>
              <w:rPr>
                <w:sz w:val="24"/>
                <w:lang w:val="en-ZA"/>
              </w:rPr>
            </w:pPr>
            <w:smartTag w:uri="urn:schemas-microsoft-com:office:smarttags" w:element="State">
              <w:smartTag w:uri="urn:schemas-microsoft-com:office:smarttags" w:element="place">
                <w:r w:rsidRPr="00045AC2">
                  <w:rPr>
                    <w:sz w:val="24"/>
                    <w:lang w:val="en-ZA"/>
                  </w:rPr>
                  <w:t>North West</w:t>
                </w:r>
              </w:smartTag>
            </w:smartTag>
            <w:r w:rsidRPr="00045AC2">
              <w:rPr>
                <w:sz w:val="24"/>
                <w:lang w:val="en-ZA"/>
              </w:rPr>
              <w:t xml:space="preserve"> </w:t>
            </w:r>
          </w:p>
        </w:tc>
        <w:tc>
          <w:tcPr>
            <w:tcW w:w="6095" w:type="dxa"/>
          </w:tcPr>
          <w:p w:rsidR="00045AC2" w:rsidRPr="00045AC2" w:rsidRDefault="00045AC2" w:rsidP="00045AC2">
            <w:pPr>
              <w:tabs>
                <w:tab w:val="left" w:pos="993"/>
              </w:tabs>
              <w:jc w:val="both"/>
              <w:rPr>
                <w:sz w:val="24"/>
                <w:lang w:val="en-ZA"/>
              </w:rPr>
            </w:pPr>
            <w:r w:rsidRPr="00045AC2">
              <w:rPr>
                <w:sz w:val="24"/>
                <w:lang w:val="en-ZA"/>
              </w:rPr>
              <w:t>Buhle Waste Management Services</w:t>
            </w:r>
          </w:p>
        </w:tc>
      </w:tr>
      <w:tr w:rsidR="00045AC2" w:rsidTr="00045AC2">
        <w:tc>
          <w:tcPr>
            <w:tcW w:w="3402" w:type="dxa"/>
          </w:tcPr>
          <w:p w:rsidR="00045AC2" w:rsidRPr="00045AC2" w:rsidRDefault="00045AC2" w:rsidP="00045AC2">
            <w:pPr>
              <w:tabs>
                <w:tab w:val="left" w:pos="993"/>
              </w:tabs>
              <w:jc w:val="both"/>
              <w:rPr>
                <w:sz w:val="24"/>
                <w:lang w:val="en-ZA"/>
              </w:rPr>
            </w:pPr>
            <w:smartTag w:uri="urn:schemas-microsoft-com:office:smarttags" w:element="State">
              <w:smartTag w:uri="urn:schemas-microsoft-com:office:smarttags" w:element="place">
                <w:r w:rsidRPr="00045AC2">
                  <w:rPr>
                    <w:sz w:val="24"/>
                    <w:lang w:val="en-ZA"/>
                  </w:rPr>
                  <w:t>Northern Cape</w:t>
                </w:r>
              </w:smartTag>
            </w:smartTag>
            <w:r w:rsidRPr="00045AC2">
              <w:rPr>
                <w:sz w:val="24"/>
                <w:lang w:val="en-ZA"/>
              </w:rPr>
              <w:t xml:space="preserve"> </w:t>
            </w:r>
          </w:p>
        </w:tc>
        <w:tc>
          <w:tcPr>
            <w:tcW w:w="6095" w:type="dxa"/>
          </w:tcPr>
          <w:p w:rsidR="00045AC2" w:rsidRPr="00045AC2" w:rsidRDefault="00045AC2" w:rsidP="00045AC2">
            <w:pPr>
              <w:tabs>
                <w:tab w:val="left" w:pos="993"/>
              </w:tabs>
              <w:jc w:val="both"/>
              <w:rPr>
                <w:sz w:val="24"/>
                <w:lang w:val="en-ZA"/>
              </w:rPr>
            </w:pPr>
            <w:r w:rsidRPr="00045AC2">
              <w:rPr>
                <w:sz w:val="24"/>
                <w:lang w:val="en-ZA"/>
              </w:rPr>
              <w:t xml:space="preserve">Tshenolo Waste Management Services </w:t>
            </w:r>
          </w:p>
        </w:tc>
      </w:tr>
      <w:tr w:rsidR="00045AC2" w:rsidTr="00045AC2">
        <w:tc>
          <w:tcPr>
            <w:tcW w:w="3402" w:type="dxa"/>
          </w:tcPr>
          <w:p w:rsidR="00045AC2" w:rsidRPr="00045AC2" w:rsidRDefault="00045AC2" w:rsidP="00045AC2">
            <w:pPr>
              <w:tabs>
                <w:tab w:val="left" w:pos="993"/>
              </w:tabs>
              <w:jc w:val="both"/>
              <w:rPr>
                <w:sz w:val="24"/>
                <w:lang w:val="en-ZA"/>
              </w:rPr>
            </w:pPr>
            <w:smartTag w:uri="urn:schemas-microsoft-com:office:smarttags" w:element="State">
              <w:smartTag w:uri="urn:schemas-microsoft-com:office:smarttags" w:element="place">
                <w:r w:rsidRPr="00045AC2">
                  <w:rPr>
                    <w:sz w:val="24"/>
                    <w:lang w:val="en-ZA"/>
                  </w:rPr>
                  <w:t>Western Cape</w:t>
                </w:r>
              </w:smartTag>
            </w:smartTag>
            <w:r w:rsidRPr="00045AC2">
              <w:rPr>
                <w:sz w:val="24"/>
                <w:lang w:val="en-ZA"/>
              </w:rPr>
              <w:t xml:space="preserve"> </w:t>
            </w:r>
          </w:p>
        </w:tc>
        <w:tc>
          <w:tcPr>
            <w:tcW w:w="6095" w:type="dxa"/>
          </w:tcPr>
          <w:p w:rsidR="00045AC2" w:rsidRPr="00045AC2" w:rsidRDefault="00045AC2" w:rsidP="00045AC2">
            <w:pPr>
              <w:tabs>
                <w:tab w:val="left" w:pos="993"/>
              </w:tabs>
              <w:jc w:val="both"/>
              <w:rPr>
                <w:sz w:val="24"/>
                <w:lang w:val="en-ZA"/>
              </w:rPr>
            </w:pPr>
            <w:r w:rsidRPr="00045AC2">
              <w:rPr>
                <w:sz w:val="24"/>
                <w:lang w:val="en-ZA"/>
              </w:rPr>
              <w:t xml:space="preserve">Solid Waste Management Services </w:t>
            </w:r>
          </w:p>
        </w:tc>
      </w:tr>
    </w:tbl>
    <w:p w:rsidR="00045AC2" w:rsidRDefault="00045AC2" w:rsidP="00045AC2">
      <w:pPr>
        <w:tabs>
          <w:tab w:val="left" w:pos="709"/>
        </w:tabs>
        <w:spacing w:before="240"/>
        <w:ind w:left="709" w:hanging="709"/>
        <w:jc w:val="both"/>
        <w:rPr>
          <w:sz w:val="24"/>
          <w:lang w:val="en-ZA"/>
        </w:rPr>
      </w:pPr>
    </w:p>
    <w:p w:rsidR="00045AC2" w:rsidRDefault="00045AC2" w:rsidP="00045AC2">
      <w:pPr>
        <w:numPr>
          <w:ilvl w:val="0"/>
          <w:numId w:val="35"/>
        </w:numPr>
        <w:tabs>
          <w:tab w:val="left" w:pos="709"/>
        </w:tabs>
        <w:spacing w:before="240"/>
        <w:ind w:hanging="720"/>
        <w:jc w:val="both"/>
        <w:rPr>
          <w:sz w:val="24"/>
          <w:lang w:val="en-ZA"/>
        </w:rPr>
      </w:pPr>
      <w:r>
        <w:rPr>
          <w:sz w:val="24"/>
          <w:lang w:val="en-ZA"/>
        </w:rPr>
        <w:lastRenderedPageBreak/>
        <w:t>(a)</w:t>
      </w:r>
      <w:r>
        <w:rPr>
          <w:sz w:val="24"/>
          <w:lang w:val="en-ZA"/>
        </w:rPr>
        <w:tab/>
        <w:t>The Department of Health is currently guided by the following regulation:</w:t>
      </w:r>
    </w:p>
    <w:p w:rsidR="00045AC2" w:rsidRPr="00FE74EB" w:rsidRDefault="00045AC2" w:rsidP="00045AC2">
      <w:pPr>
        <w:pStyle w:val="ListParagraph"/>
        <w:numPr>
          <w:ilvl w:val="0"/>
          <w:numId w:val="33"/>
        </w:numPr>
        <w:tabs>
          <w:tab w:val="left" w:pos="1418"/>
        </w:tabs>
        <w:spacing w:before="240" w:line="276" w:lineRule="auto"/>
        <w:ind w:left="1418" w:hanging="709"/>
        <w:jc w:val="both"/>
        <w:rPr>
          <w:b/>
          <w:sz w:val="24"/>
          <w:lang w:val="en-ZA"/>
        </w:rPr>
      </w:pPr>
      <w:r w:rsidRPr="00FE74EB">
        <w:rPr>
          <w:b/>
          <w:sz w:val="24"/>
          <w:lang w:val="en-ZA"/>
        </w:rPr>
        <w:t xml:space="preserve">R. 180 Regulations regarding the general control of human bodies, tissue, blood, blood products and gametes section 68 (1) in conjunction with section 90 of the </w:t>
      </w:r>
      <w:r>
        <w:rPr>
          <w:b/>
          <w:sz w:val="24"/>
          <w:lang w:val="en-ZA"/>
        </w:rPr>
        <w:t xml:space="preserve">National </w:t>
      </w:r>
      <w:r w:rsidRPr="00FE74EB">
        <w:rPr>
          <w:b/>
          <w:sz w:val="24"/>
          <w:lang w:val="en-ZA"/>
        </w:rPr>
        <w:t>Health Act</w:t>
      </w:r>
      <w:r>
        <w:rPr>
          <w:sz w:val="24"/>
          <w:lang w:val="en-ZA"/>
        </w:rPr>
        <w:t xml:space="preserve"> stating</w:t>
      </w:r>
    </w:p>
    <w:p w:rsidR="00045AC2" w:rsidRDefault="00045AC2" w:rsidP="00045AC2">
      <w:pPr>
        <w:pStyle w:val="ListParagraph"/>
        <w:tabs>
          <w:tab w:val="left" w:pos="1134"/>
        </w:tabs>
        <w:spacing w:before="240"/>
        <w:ind w:left="1418"/>
        <w:jc w:val="both"/>
        <w:rPr>
          <w:i/>
          <w:sz w:val="24"/>
          <w:lang w:val="en-ZA"/>
        </w:rPr>
      </w:pPr>
      <w:r>
        <w:rPr>
          <w:i/>
          <w:sz w:val="24"/>
          <w:lang w:val="en-ZA"/>
        </w:rPr>
        <w:tab/>
        <w:t>“Any person who acquires the body of a deceased person or any tissue, blood or gamete by virtue of any provision of the Act and these regulations, shall, subject to any restrictions in terms of the Act or any other law and provided she or he uses the body, tissue, blood or gamete for the purposes for which it has been donated, handed over or supplied to her or to him, on receipt of that body, tissue, blood or gamete acquire exclusive rights in respect thereof.”</w:t>
      </w:r>
    </w:p>
    <w:p w:rsidR="00045AC2" w:rsidRPr="00A72FED" w:rsidRDefault="00045AC2" w:rsidP="00045AC2">
      <w:pPr>
        <w:tabs>
          <w:tab w:val="left" w:pos="709"/>
        </w:tabs>
        <w:spacing w:before="240"/>
        <w:ind w:left="1418" w:hanging="1170"/>
        <w:jc w:val="both"/>
        <w:rPr>
          <w:sz w:val="24"/>
        </w:rPr>
      </w:pPr>
      <w:r>
        <w:rPr>
          <w:i/>
          <w:sz w:val="24"/>
          <w:lang w:val="en-ZA"/>
        </w:rPr>
        <w:t xml:space="preserve">    </w:t>
      </w:r>
      <w:r>
        <w:rPr>
          <w:i/>
          <w:sz w:val="24"/>
          <w:lang w:val="en-ZA"/>
        </w:rPr>
        <w:tab/>
      </w:r>
      <w:r w:rsidRPr="00045AC2">
        <w:rPr>
          <w:sz w:val="24"/>
          <w:lang w:val="en-ZA"/>
        </w:rPr>
        <w:t>(b)</w:t>
      </w:r>
      <w:r w:rsidRPr="00045AC2">
        <w:rPr>
          <w:sz w:val="24"/>
          <w:lang w:val="en-ZA"/>
        </w:rPr>
        <w:tab/>
      </w:r>
      <w:r>
        <w:rPr>
          <w:i/>
          <w:sz w:val="24"/>
          <w:lang w:val="en-ZA"/>
        </w:rPr>
        <w:t xml:space="preserve">The </w:t>
      </w:r>
      <w:r>
        <w:rPr>
          <w:sz w:val="24"/>
        </w:rPr>
        <w:t>National Health</w:t>
      </w:r>
      <w:r w:rsidRPr="00A72FED">
        <w:rPr>
          <w:sz w:val="24"/>
        </w:rPr>
        <w:t xml:space="preserve"> Research Ethics C</w:t>
      </w:r>
      <w:r>
        <w:rPr>
          <w:sz w:val="24"/>
        </w:rPr>
        <w:t>ouncil</w:t>
      </w:r>
      <w:r w:rsidRPr="00A72FED">
        <w:rPr>
          <w:sz w:val="24"/>
        </w:rPr>
        <w:t xml:space="preserve"> </w:t>
      </w:r>
      <w:r>
        <w:rPr>
          <w:sz w:val="24"/>
        </w:rPr>
        <w:t>(</w:t>
      </w:r>
      <w:r w:rsidRPr="00A72FED">
        <w:rPr>
          <w:sz w:val="24"/>
        </w:rPr>
        <w:t>NHREC</w:t>
      </w:r>
      <w:r>
        <w:rPr>
          <w:sz w:val="24"/>
        </w:rPr>
        <w:t>) is a statutory body established in terms of T</w:t>
      </w:r>
      <w:r w:rsidRPr="00A72FED">
        <w:rPr>
          <w:sz w:val="24"/>
        </w:rPr>
        <w:t>he National Health Act (NHA</w:t>
      </w:r>
      <w:r>
        <w:rPr>
          <w:sz w:val="24"/>
        </w:rPr>
        <w:t>) to set norms and standards for conducting research on humans, to monitor and institute appropriate disciplinary actions in cases of violation of ethics and human rights. It monitors ethical conduct in research, including the use of fetuses for experimental purposes.  Section</w:t>
      </w:r>
      <w:r w:rsidRPr="00A72FED">
        <w:rPr>
          <w:sz w:val="24"/>
        </w:rPr>
        <w:t xml:space="preserve"> 72(</w:t>
      </w:r>
      <w:r>
        <w:rPr>
          <w:sz w:val="24"/>
        </w:rPr>
        <w:t>7</w:t>
      </w:r>
      <w:r w:rsidRPr="00A72FED">
        <w:rPr>
          <w:sz w:val="24"/>
        </w:rPr>
        <w:t>)</w:t>
      </w:r>
      <w:r>
        <w:rPr>
          <w:sz w:val="24"/>
        </w:rPr>
        <w:t xml:space="preserve"> particularly makes provision for “clinical trials” which includes experiments involving human subjects for research purposes. </w:t>
      </w:r>
      <w:r w:rsidRPr="00A72FED">
        <w:rPr>
          <w:sz w:val="24"/>
        </w:rPr>
        <w:t xml:space="preserve"> </w:t>
      </w:r>
      <w:r>
        <w:rPr>
          <w:sz w:val="24"/>
        </w:rPr>
        <w:t>(NHA s 73(1)) requires that e</w:t>
      </w:r>
      <w:r w:rsidRPr="00A72FED">
        <w:rPr>
          <w:sz w:val="24"/>
        </w:rPr>
        <w:t xml:space="preserve">very organisation/institution, health agency and health establishment at which health and health-related research involving human participants </w:t>
      </w:r>
      <w:r>
        <w:rPr>
          <w:sz w:val="24"/>
        </w:rPr>
        <w:t xml:space="preserve">must </w:t>
      </w:r>
      <w:r w:rsidRPr="00A72FED">
        <w:rPr>
          <w:sz w:val="24"/>
        </w:rPr>
        <w:t xml:space="preserve"> have access to a registered Human Research Ethics Committee </w:t>
      </w:r>
      <w:r>
        <w:rPr>
          <w:sz w:val="24"/>
        </w:rPr>
        <w:t>(REC)</w:t>
      </w:r>
      <w:r w:rsidRPr="00A72FED">
        <w:rPr>
          <w:sz w:val="24"/>
        </w:rPr>
        <w:t xml:space="preserve"> that review research involving human participants must</w:t>
      </w:r>
      <w:r>
        <w:rPr>
          <w:sz w:val="24"/>
        </w:rPr>
        <w:t xml:space="preserve"> be assessed and</w:t>
      </w:r>
      <w:r w:rsidRPr="00A72FED">
        <w:rPr>
          <w:sz w:val="24"/>
        </w:rPr>
        <w:t xml:space="preserve"> register with the NHREC (NHA s 73(1)). The NHA (s 72(1)) requires that proposals to conduct ‘health research’ must undergo independent ethics review before the research is commenced. </w:t>
      </w:r>
    </w:p>
    <w:p w:rsidR="00045AC2" w:rsidRPr="00A367E6" w:rsidRDefault="00045AC2" w:rsidP="00045AC2">
      <w:pPr>
        <w:pStyle w:val="ListParagraph"/>
        <w:numPr>
          <w:ilvl w:val="0"/>
          <w:numId w:val="34"/>
        </w:numPr>
        <w:autoSpaceDE w:val="0"/>
        <w:autoSpaceDN w:val="0"/>
        <w:adjustRightInd w:val="0"/>
        <w:spacing w:before="120"/>
        <w:ind w:left="1418" w:hanging="607"/>
        <w:contextualSpacing w:val="0"/>
        <w:jc w:val="both"/>
      </w:pPr>
      <w:r w:rsidRPr="00A367E6">
        <w:rPr>
          <w:b/>
          <w:bCs/>
          <w:sz w:val="24"/>
        </w:rPr>
        <w:t xml:space="preserve">Section 3.3.5 of the 2015 Ethics </w:t>
      </w:r>
      <w:r>
        <w:rPr>
          <w:b/>
          <w:bCs/>
          <w:sz w:val="24"/>
        </w:rPr>
        <w:t>G</w:t>
      </w:r>
      <w:r w:rsidRPr="00A367E6">
        <w:rPr>
          <w:b/>
          <w:bCs/>
          <w:sz w:val="24"/>
        </w:rPr>
        <w:t xml:space="preserve">uidelines relates to Restrictions on collection of biological materials. </w:t>
      </w:r>
      <w:r w:rsidRPr="00DD0AC1">
        <w:rPr>
          <w:bCs/>
          <w:sz w:val="24"/>
        </w:rPr>
        <w:t>The document highlights c</w:t>
      </w:r>
      <w:r w:rsidRPr="00DD0AC1">
        <w:rPr>
          <w:sz w:val="24"/>
        </w:rPr>
        <w:t>ertain persons who are specially protected. The guidelines explains that without Ministerial permission, biological materials may</w:t>
      </w:r>
      <w:r w:rsidRPr="00A367E6">
        <w:rPr>
          <w:sz w:val="24"/>
        </w:rPr>
        <w:t xml:space="preserve"> not be taken from mentally ill persons; biological materials that are not naturally replaceable may not be taken from a minor; no gametes may be taken from a minor; and no fetal biological material except for umbilical cord progenitor cells may be collected from anyone. These restrictions are absolute which means that research with the categories of person mentioned requires special permission. RECs must satisfy themselves that the necessary special permission has been obtained, where appropriate</w:t>
      </w:r>
      <w:r w:rsidRPr="00A367E6">
        <w:t>.</w:t>
      </w:r>
    </w:p>
    <w:p w:rsidR="00045AC2" w:rsidRDefault="00045AC2" w:rsidP="00045AC2">
      <w:pPr>
        <w:pStyle w:val="ListParagraph"/>
        <w:ind w:left="0"/>
        <w:contextualSpacing w:val="0"/>
        <w:jc w:val="both"/>
        <w:rPr>
          <w:sz w:val="24"/>
          <w:lang w:val="en-ZA"/>
        </w:rPr>
      </w:pPr>
    </w:p>
    <w:p w:rsidR="003F6F06" w:rsidRPr="00357A10" w:rsidRDefault="00045AC2" w:rsidP="00045AC2">
      <w:pPr>
        <w:pStyle w:val="ListParagraph"/>
        <w:contextualSpacing w:val="0"/>
        <w:jc w:val="both"/>
        <w:rPr>
          <w:bCs/>
          <w:sz w:val="24"/>
          <w:lang w:val="en-US"/>
        </w:rPr>
      </w:pPr>
      <w:r>
        <w:rPr>
          <w:sz w:val="24"/>
          <w:lang w:val="en-ZA"/>
        </w:rPr>
        <w:t xml:space="preserve">Furthermore, the Department has established a </w:t>
      </w:r>
      <w:r w:rsidRPr="00212668">
        <w:rPr>
          <w:sz w:val="24"/>
          <w:lang w:val="en-ZA"/>
        </w:rPr>
        <w:t>National Health Research Database (NHRD</w:t>
      </w:r>
      <w:r>
        <w:rPr>
          <w:sz w:val="24"/>
          <w:lang w:val="en-ZA"/>
        </w:rPr>
        <w:t>)</w:t>
      </w:r>
      <w:r w:rsidRPr="00212668">
        <w:rPr>
          <w:sz w:val="24"/>
          <w:lang w:val="en-ZA"/>
        </w:rPr>
        <w:t xml:space="preserve"> to </w:t>
      </w:r>
      <w:r>
        <w:rPr>
          <w:sz w:val="24"/>
          <w:lang w:val="en-ZA"/>
        </w:rPr>
        <w:t xml:space="preserve">register and </w:t>
      </w:r>
      <w:r w:rsidRPr="00212668">
        <w:rPr>
          <w:sz w:val="24"/>
          <w:lang w:val="en-ZA"/>
        </w:rPr>
        <w:t xml:space="preserve">monitor </w:t>
      </w:r>
      <w:r>
        <w:rPr>
          <w:sz w:val="24"/>
          <w:lang w:val="en-ZA"/>
        </w:rPr>
        <w:t xml:space="preserve">all </w:t>
      </w:r>
      <w:r w:rsidRPr="00212668">
        <w:rPr>
          <w:sz w:val="24"/>
          <w:lang w:val="en-ZA"/>
        </w:rPr>
        <w:t xml:space="preserve">research </w:t>
      </w:r>
      <w:r>
        <w:rPr>
          <w:sz w:val="24"/>
          <w:lang w:val="en-ZA"/>
        </w:rPr>
        <w:t>being conducted in the country. All research studies have to be approved by the Ethics committee and registered in the database before commencement.</w:t>
      </w:r>
    </w:p>
    <w:p w:rsidR="00C41194" w:rsidRPr="00357A10" w:rsidRDefault="00C41194" w:rsidP="00646F50">
      <w:pPr>
        <w:jc w:val="both"/>
        <w:rPr>
          <w:sz w:val="24"/>
          <w:lang w:val="en-CA"/>
        </w:rPr>
      </w:pPr>
    </w:p>
    <w:p w:rsidR="00357A10" w:rsidRDefault="00357A10" w:rsidP="00430D20">
      <w:pPr>
        <w:pStyle w:val="BodyText"/>
        <w:rPr>
          <w:sz w:val="24"/>
          <w:lang w:val="en-GB"/>
        </w:rPr>
      </w:pPr>
    </w:p>
    <w:p w:rsidR="00E238C2" w:rsidRPr="00357A10" w:rsidRDefault="00E238C2" w:rsidP="00430D20">
      <w:pPr>
        <w:pStyle w:val="BodyText"/>
        <w:rPr>
          <w:b/>
          <w:bCs/>
          <w:sz w:val="24"/>
          <w:lang w:val="en-GB"/>
        </w:rPr>
      </w:pPr>
      <w:r w:rsidRPr="00357A10">
        <w:rPr>
          <w:sz w:val="24"/>
          <w:lang w:val="en-GB"/>
        </w:rPr>
        <w:t>END.</w:t>
      </w:r>
    </w:p>
    <w:sectPr w:rsidR="00E238C2" w:rsidRPr="00357A10"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03B" w:rsidRDefault="0009203B">
      <w:r>
        <w:separator/>
      </w:r>
    </w:p>
  </w:endnote>
  <w:endnote w:type="continuationSeparator" w:id="0">
    <w:p w:rsidR="0009203B" w:rsidRDefault="000920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821714">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03B" w:rsidRDefault="0009203B">
      <w:r>
        <w:separator/>
      </w:r>
    </w:p>
  </w:footnote>
  <w:footnote w:type="continuationSeparator" w:id="0">
    <w:p w:rsidR="0009203B" w:rsidRDefault="000920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BEC05CE"/>
    <w:multiLevelType w:val="hybridMultilevel"/>
    <w:tmpl w:val="8AEA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B25C92"/>
    <w:multiLevelType w:val="hybridMultilevel"/>
    <w:tmpl w:val="6EA63A0E"/>
    <w:lvl w:ilvl="0" w:tplc="91A4A918">
      <w:start w:val="1"/>
      <w:numFmt w:val="lowerRoman"/>
      <w:lvlText w:val="(%1)"/>
      <w:lvlJc w:val="left"/>
      <w:pPr>
        <w:ind w:left="1287" w:hanging="360"/>
      </w:pPr>
      <w:rPr>
        <w:rFonts w:ascii="Arial" w:eastAsia="Calibri" w:hAnsi="Arial" w:cs="Arial"/>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
    <w:nsid w:val="40FF3811"/>
    <w:multiLevelType w:val="hybridMultilevel"/>
    <w:tmpl w:val="E1DC752E"/>
    <w:lvl w:ilvl="0" w:tplc="5BF2CBB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ACB135A"/>
    <w:multiLevelType w:val="hybridMultilevel"/>
    <w:tmpl w:val="4FBC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3">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9"/>
  </w:num>
  <w:num w:numId="5">
    <w:abstractNumId w:val="23"/>
  </w:num>
  <w:num w:numId="6">
    <w:abstractNumId w:val="25"/>
  </w:num>
  <w:num w:numId="7">
    <w:abstractNumId w:val="19"/>
  </w:num>
  <w:num w:numId="8">
    <w:abstractNumId w:val="11"/>
  </w:num>
  <w:num w:numId="9">
    <w:abstractNumId w:val="6"/>
  </w:num>
  <w:num w:numId="10">
    <w:abstractNumId w:val="18"/>
  </w:num>
  <w:num w:numId="11">
    <w:abstractNumId w:val="30"/>
  </w:num>
  <w:num w:numId="12">
    <w:abstractNumId w:val="3"/>
  </w:num>
  <w:num w:numId="13">
    <w:abstractNumId w:val="31"/>
  </w:num>
  <w:num w:numId="14">
    <w:abstractNumId w:val="24"/>
  </w:num>
  <w:num w:numId="15">
    <w:abstractNumId w:val="7"/>
  </w:num>
  <w:num w:numId="16">
    <w:abstractNumId w:val="0"/>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3"/>
  </w:num>
  <w:num w:numId="24">
    <w:abstractNumId w:val="8"/>
  </w:num>
  <w:num w:numId="25">
    <w:abstractNumId w:val="28"/>
  </w:num>
  <w:num w:numId="26">
    <w:abstractNumId w:val="14"/>
  </w:num>
  <w:num w:numId="27">
    <w:abstractNumId w:val="32"/>
  </w:num>
  <w:num w:numId="28">
    <w:abstractNumId w:val="27"/>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9"/>
  </w:num>
  <w:num w:numId="32">
    <w:abstractNumId w:val="5"/>
  </w:num>
  <w:num w:numId="33">
    <w:abstractNumId w:val="21"/>
  </w:num>
  <w:num w:numId="34">
    <w:abstractNumId w:val="2"/>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4183B"/>
    <w:rsid w:val="00045AC2"/>
    <w:rsid w:val="00056AD2"/>
    <w:rsid w:val="00072404"/>
    <w:rsid w:val="0007341B"/>
    <w:rsid w:val="00081C7A"/>
    <w:rsid w:val="0008767D"/>
    <w:rsid w:val="0009203B"/>
    <w:rsid w:val="000A20B0"/>
    <w:rsid w:val="000B4AB8"/>
    <w:rsid w:val="000F059B"/>
    <w:rsid w:val="000F3BF5"/>
    <w:rsid w:val="000F50B5"/>
    <w:rsid w:val="00103056"/>
    <w:rsid w:val="00103544"/>
    <w:rsid w:val="001126D2"/>
    <w:rsid w:val="00150F90"/>
    <w:rsid w:val="001651E2"/>
    <w:rsid w:val="001A5759"/>
    <w:rsid w:val="001B62F5"/>
    <w:rsid w:val="001B67CA"/>
    <w:rsid w:val="001C0252"/>
    <w:rsid w:val="001C2FB1"/>
    <w:rsid w:val="001C433A"/>
    <w:rsid w:val="001D2E01"/>
    <w:rsid w:val="001E53FE"/>
    <w:rsid w:val="001E6713"/>
    <w:rsid w:val="001E7247"/>
    <w:rsid w:val="00202CF5"/>
    <w:rsid w:val="002242A9"/>
    <w:rsid w:val="00233C3B"/>
    <w:rsid w:val="0024216E"/>
    <w:rsid w:val="002A5288"/>
    <w:rsid w:val="002B20CB"/>
    <w:rsid w:val="002B32D0"/>
    <w:rsid w:val="002E3FA9"/>
    <w:rsid w:val="002F747D"/>
    <w:rsid w:val="00300051"/>
    <w:rsid w:val="00311920"/>
    <w:rsid w:val="0031798D"/>
    <w:rsid w:val="00330A1B"/>
    <w:rsid w:val="00355BB7"/>
    <w:rsid w:val="00357A10"/>
    <w:rsid w:val="00366B08"/>
    <w:rsid w:val="00366E06"/>
    <w:rsid w:val="0039184B"/>
    <w:rsid w:val="003A1B0E"/>
    <w:rsid w:val="003D6B80"/>
    <w:rsid w:val="003E0AC8"/>
    <w:rsid w:val="003E5508"/>
    <w:rsid w:val="003F3650"/>
    <w:rsid w:val="003F693D"/>
    <w:rsid w:val="003F6F06"/>
    <w:rsid w:val="0040781B"/>
    <w:rsid w:val="00430D20"/>
    <w:rsid w:val="0043313B"/>
    <w:rsid w:val="00434530"/>
    <w:rsid w:val="00435FC4"/>
    <w:rsid w:val="004456A9"/>
    <w:rsid w:val="0047454A"/>
    <w:rsid w:val="0048302D"/>
    <w:rsid w:val="00483FEE"/>
    <w:rsid w:val="00487E16"/>
    <w:rsid w:val="004B1268"/>
    <w:rsid w:val="004B3491"/>
    <w:rsid w:val="004C5286"/>
    <w:rsid w:val="004C740F"/>
    <w:rsid w:val="004D4DBF"/>
    <w:rsid w:val="004F42DD"/>
    <w:rsid w:val="004F7C1A"/>
    <w:rsid w:val="0050347C"/>
    <w:rsid w:val="0051126E"/>
    <w:rsid w:val="005117E9"/>
    <w:rsid w:val="00525127"/>
    <w:rsid w:val="00540171"/>
    <w:rsid w:val="0054370C"/>
    <w:rsid w:val="005444C6"/>
    <w:rsid w:val="00547112"/>
    <w:rsid w:val="00557CEE"/>
    <w:rsid w:val="0056205A"/>
    <w:rsid w:val="00570065"/>
    <w:rsid w:val="00576020"/>
    <w:rsid w:val="005937C8"/>
    <w:rsid w:val="005C171D"/>
    <w:rsid w:val="005C4284"/>
    <w:rsid w:val="005C491B"/>
    <w:rsid w:val="005D55C6"/>
    <w:rsid w:val="005E1FBC"/>
    <w:rsid w:val="00610BC7"/>
    <w:rsid w:val="006175C7"/>
    <w:rsid w:val="00623E12"/>
    <w:rsid w:val="00635745"/>
    <w:rsid w:val="00635890"/>
    <w:rsid w:val="00637291"/>
    <w:rsid w:val="0063794C"/>
    <w:rsid w:val="00646F50"/>
    <w:rsid w:val="006664AE"/>
    <w:rsid w:val="006779D4"/>
    <w:rsid w:val="006C67FA"/>
    <w:rsid w:val="006E6C41"/>
    <w:rsid w:val="006E77B3"/>
    <w:rsid w:val="006E7C45"/>
    <w:rsid w:val="006F221E"/>
    <w:rsid w:val="006F501B"/>
    <w:rsid w:val="006F7E16"/>
    <w:rsid w:val="00721839"/>
    <w:rsid w:val="00735915"/>
    <w:rsid w:val="00762416"/>
    <w:rsid w:val="00771EB2"/>
    <w:rsid w:val="00773A22"/>
    <w:rsid w:val="007A0D02"/>
    <w:rsid w:val="007A3E1B"/>
    <w:rsid w:val="007A6FF8"/>
    <w:rsid w:val="007E6493"/>
    <w:rsid w:val="007E6896"/>
    <w:rsid w:val="007F6D34"/>
    <w:rsid w:val="00802311"/>
    <w:rsid w:val="008027EE"/>
    <w:rsid w:val="0081272C"/>
    <w:rsid w:val="00821714"/>
    <w:rsid w:val="0084076E"/>
    <w:rsid w:val="00846CD4"/>
    <w:rsid w:val="008603CC"/>
    <w:rsid w:val="008A2BAB"/>
    <w:rsid w:val="008B7C94"/>
    <w:rsid w:val="008C0456"/>
    <w:rsid w:val="008C3326"/>
    <w:rsid w:val="008D2430"/>
    <w:rsid w:val="008D437A"/>
    <w:rsid w:val="008D749E"/>
    <w:rsid w:val="008F1C96"/>
    <w:rsid w:val="0090105B"/>
    <w:rsid w:val="009112C9"/>
    <w:rsid w:val="0091259B"/>
    <w:rsid w:val="00913A3F"/>
    <w:rsid w:val="00921664"/>
    <w:rsid w:val="0092641E"/>
    <w:rsid w:val="009342E8"/>
    <w:rsid w:val="00952EC0"/>
    <w:rsid w:val="009756B6"/>
    <w:rsid w:val="009855D2"/>
    <w:rsid w:val="009873B3"/>
    <w:rsid w:val="009922DD"/>
    <w:rsid w:val="00997EC4"/>
    <w:rsid w:val="009A2424"/>
    <w:rsid w:val="009A3F64"/>
    <w:rsid w:val="009C00C3"/>
    <w:rsid w:val="009D2E42"/>
    <w:rsid w:val="009D3DA5"/>
    <w:rsid w:val="009D62A1"/>
    <w:rsid w:val="009E05A5"/>
    <w:rsid w:val="009F075E"/>
    <w:rsid w:val="009F0BA7"/>
    <w:rsid w:val="00A041C1"/>
    <w:rsid w:val="00A0613D"/>
    <w:rsid w:val="00A13AC5"/>
    <w:rsid w:val="00A13D92"/>
    <w:rsid w:val="00A143B4"/>
    <w:rsid w:val="00A17235"/>
    <w:rsid w:val="00A17A8A"/>
    <w:rsid w:val="00A24207"/>
    <w:rsid w:val="00A42F9C"/>
    <w:rsid w:val="00A51CEC"/>
    <w:rsid w:val="00A6048F"/>
    <w:rsid w:val="00A7509E"/>
    <w:rsid w:val="00A87CFA"/>
    <w:rsid w:val="00A93531"/>
    <w:rsid w:val="00AB0EAC"/>
    <w:rsid w:val="00AB3C74"/>
    <w:rsid w:val="00AC6AC3"/>
    <w:rsid w:val="00AD5F10"/>
    <w:rsid w:val="00B0762E"/>
    <w:rsid w:val="00B2423A"/>
    <w:rsid w:val="00B30D8D"/>
    <w:rsid w:val="00B353AB"/>
    <w:rsid w:val="00B37F60"/>
    <w:rsid w:val="00B41548"/>
    <w:rsid w:val="00B519E0"/>
    <w:rsid w:val="00B561F9"/>
    <w:rsid w:val="00B6102B"/>
    <w:rsid w:val="00B63926"/>
    <w:rsid w:val="00B87D92"/>
    <w:rsid w:val="00B9163D"/>
    <w:rsid w:val="00BC6E9C"/>
    <w:rsid w:val="00BE5AF9"/>
    <w:rsid w:val="00BF35AB"/>
    <w:rsid w:val="00C0227C"/>
    <w:rsid w:val="00C063AA"/>
    <w:rsid w:val="00C26148"/>
    <w:rsid w:val="00C41194"/>
    <w:rsid w:val="00C50944"/>
    <w:rsid w:val="00C71939"/>
    <w:rsid w:val="00C723FE"/>
    <w:rsid w:val="00C82762"/>
    <w:rsid w:val="00C91D4D"/>
    <w:rsid w:val="00CA0E36"/>
    <w:rsid w:val="00CF60D1"/>
    <w:rsid w:val="00D034F1"/>
    <w:rsid w:val="00D04106"/>
    <w:rsid w:val="00D05EA8"/>
    <w:rsid w:val="00D05FA5"/>
    <w:rsid w:val="00D06D6D"/>
    <w:rsid w:val="00D07FF1"/>
    <w:rsid w:val="00D21320"/>
    <w:rsid w:val="00D50BCC"/>
    <w:rsid w:val="00D5344B"/>
    <w:rsid w:val="00D5360E"/>
    <w:rsid w:val="00D67753"/>
    <w:rsid w:val="00D75166"/>
    <w:rsid w:val="00D821B8"/>
    <w:rsid w:val="00D84AEC"/>
    <w:rsid w:val="00D92358"/>
    <w:rsid w:val="00DA3E25"/>
    <w:rsid w:val="00DA6F68"/>
    <w:rsid w:val="00DC1DD2"/>
    <w:rsid w:val="00DC2D05"/>
    <w:rsid w:val="00DC7AE6"/>
    <w:rsid w:val="00DE233C"/>
    <w:rsid w:val="00DE4636"/>
    <w:rsid w:val="00DE787B"/>
    <w:rsid w:val="00DF6212"/>
    <w:rsid w:val="00E040FD"/>
    <w:rsid w:val="00E11BD3"/>
    <w:rsid w:val="00E238C2"/>
    <w:rsid w:val="00E42417"/>
    <w:rsid w:val="00E43571"/>
    <w:rsid w:val="00E61438"/>
    <w:rsid w:val="00E61656"/>
    <w:rsid w:val="00E70BD1"/>
    <w:rsid w:val="00E85240"/>
    <w:rsid w:val="00EA464E"/>
    <w:rsid w:val="00ED527A"/>
    <w:rsid w:val="00EE56A6"/>
    <w:rsid w:val="00EF7FEE"/>
    <w:rsid w:val="00F14236"/>
    <w:rsid w:val="00F2300D"/>
    <w:rsid w:val="00F24479"/>
    <w:rsid w:val="00F3238C"/>
    <w:rsid w:val="00F467DC"/>
    <w:rsid w:val="00F50E33"/>
    <w:rsid w:val="00F6642C"/>
    <w:rsid w:val="00F70EBE"/>
    <w:rsid w:val="00F7399B"/>
    <w:rsid w:val="00F86457"/>
    <w:rsid w:val="00F966C3"/>
    <w:rsid w:val="00FB5A74"/>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lang w:val="en-GB" w:eastAsia="en-US"/>
    </w:rPr>
  </w:style>
  <w:style w:type="paragraph" w:styleId="Heading1">
    <w:name w:val="heading 1"/>
    <w:basedOn w:val="Normal"/>
    <w:next w:val="Normal"/>
    <w:qFormat/>
    <w:pPr>
      <w:keepNext/>
      <w:jc w:val="right"/>
      <w:outlineLvl w:val="0"/>
    </w:pPr>
    <w:rPr>
      <w:b/>
      <w:bCs/>
      <w:sz w:val="12"/>
      <w:lang w:val="en-US"/>
    </w:rPr>
  </w:style>
  <w:style w:type="paragraph" w:styleId="Heading2">
    <w:name w:val="heading 2"/>
    <w:basedOn w:val="Normal"/>
    <w:next w:val="Normal"/>
    <w:qFormat/>
    <w:pPr>
      <w:keepNext/>
      <w:outlineLvl w:val="1"/>
    </w:pPr>
    <w:rPr>
      <w:b/>
      <w:bCs/>
      <w:sz w:val="20"/>
      <w:u w:val="single"/>
    </w:rPr>
  </w:style>
  <w:style w:type="paragraph" w:styleId="Heading3">
    <w:name w:val="heading 3"/>
    <w:basedOn w:val="Normal"/>
    <w:next w:val="Normal"/>
    <w:qFormat/>
    <w:pPr>
      <w:keepNext/>
      <w:autoSpaceDE w:val="0"/>
      <w:autoSpaceDN w:val="0"/>
      <w:adjustRightInd w:val="0"/>
      <w:jc w:val="both"/>
      <w:outlineLvl w:val="2"/>
    </w:pPr>
    <w:rPr>
      <w:b/>
      <w:bCs/>
      <w:szCs w:val="16"/>
    </w:rPr>
  </w:style>
  <w:style w:type="paragraph" w:styleId="Heading4">
    <w:name w:val="heading 4"/>
    <w:basedOn w:val="Normal"/>
    <w:next w:val="Normal"/>
    <w:qFormat/>
    <w:pPr>
      <w:keepNext/>
      <w:ind w:left="720" w:hanging="720"/>
      <w:jc w:val="right"/>
      <w:outlineLvl w:val="3"/>
    </w:pPr>
    <w:rPr>
      <w:b/>
      <w:bCs/>
      <w:sz w:val="12"/>
    </w:rPr>
  </w:style>
  <w:style w:type="paragraph" w:styleId="Heading5">
    <w:name w:val="heading 5"/>
    <w:basedOn w:val="Normal"/>
    <w:next w:val="Normal"/>
    <w:qFormat/>
    <w:pPr>
      <w:keepNext/>
      <w:jc w:val="both"/>
      <w:outlineLvl w:val="4"/>
    </w:pPr>
    <w:rPr>
      <w:b/>
      <w:bCs/>
      <w:sz w:val="24"/>
    </w:rPr>
  </w:style>
  <w:style w:type="paragraph" w:styleId="Heading6">
    <w:name w:val="heading 6"/>
    <w:basedOn w:val="Normal"/>
    <w:next w:val="Normal"/>
    <w:qFormat/>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pPr>
      <w:keepNext/>
      <w:ind w:left="660"/>
      <w:jc w:val="both"/>
      <w:outlineLvl w:val="6"/>
    </w:pPr>
    <w:rPr>
      <w:b/>
      <w:bCs/>
      <w:szCs w:val="22"/>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pPr>
      <w:keepNext/>
      <w:outlineLvl w:val="8"/>
    </w:pPr>
    <w:rPr>
      <w:b/>
      <w:b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lang w:val="en-US"/>
    </w:rPr>
  </w:style>
  <w:style w:type="paragraph" w:styleId="BodyTextIndent">
    <w:name w:val="Body Text Indent"/>
    <w:basedOn w:val="Normal"/>
    <w:pPr>
      <w:ind w:left="770" w:hanging="50"/>
      <w:jc w:val="both"/>
    </w:pPr>
    <w:rPr>
      <w:sz w:val="20"/>
    </w:rPr>
  </w:style>
  <w:style w:type="paragraph" w:styleId="BodyTextIndent3">
    <w:name w:val="Body Text Indent 3"/>
    <w:basedOn w:val="Normal"/>
    <w:pPr>
      <w:ind w:left="720" w:hanging="720"/>
    </w:pPr>
    <w:rPr>
      <w:rFonts w:cs="Times New Roman"/>
      <w:sz w:val="24"/>
      <w:szCs w:val="20"/>
    </w:rPr>
  </w:style>
  <w:style w:type="paragraph" w:styleId="BodyText2">
    <w:name w:val="Body Text 2"/>
    <w:basedOn w:val="Normal"/>
    <w:pPr>
      <w:jc w:val="both"/>
    </w:pPr>
    <w:rPr>
      <w:sz w:val="20"/>
    </w:rPr>
  </w:style>
  <w:style w:type="paragraph" w:styleId="BlockText">
    <w:name w:val="Block Text"/>
    <w:basedOn w:val="Normal"/>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pPr>
      <w:autoSpaceDE w:val="0"/>
      <w:autoSpaceDN w:val="0"/>
      <w:adjustRightInd w:val="0"/>
      <w:ind w:left="2160"/>
      <w:jc w:val="both"/>
    </w:pPr>
    <w:rPr>
      <w:szCs w:val="16"/>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uiPriority w:val="99"/>
  </w:style>
  <w:style w:type="paragraph" w:styleId="Header">
    <w:name w:val="header"/>
    <w:basedOn w:val="Normal"/>
    <w:pPr>
      <w:tabs>
        <w:tab w:val="center" w:pos="4153"/>
        <w:tab w:val="right" w:pos="8306"/>
      </w:tabs>
    </w:pPr>
  </w:style>
  <w:style w:type="character" w:styleId="FootnoteReference">
    <w:name w:val="footnote reference"/>
    <w:basedOn w:val="DefaultParagraphFont"/>
    <w:semiHidden/>
    <w:rPr>
      <w:vertAlign w:val="superscript"/>
    </w:rPr>
  </w:style>
  <w:style w:type="paragraph" w:styleId="BodyText3">
    <w:name w:val="Body Text 3"/>
    <w:basedOn w:val="Normal"/>
    <w:pPr>
      <w:spacing w:line="360" w:lineRule="auto"/>
      <w:jc w:val="both"/>
    </w:pPr>
    <w:rPr>
      <w:rFonts w:ascii="Times New Roman" w:hAnsi="Times New Roman" w:cs="Times New Roman"/>
      <w:sz w:val="24"/>
      <w:lang w:val="en-US"/>
    </w:rPr>
  </w:style>
  <w:style w:type="paragraph" w:styleId="Title">
    <w:name w:val="Title"/>
    <w:basedOn w:val="Normal"/>
    <w:link w:val="TitleChar"/>
    <w:qFormat/>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2015-08-05T13:01:00Z</cp:lastPrinted>
  <dcterms:created xsi:type="dcterms:W3CDTF">2015-09-30T10:03:00Z</dcterms:created>
  <dcterms:modified xsi:type="dcterms:W3CDTF">2015-09-30T10:03:00Z</dcterms:modified>
</cp:coreProperties>
</file>