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7D" w:rsidRDefault="0040282C" w:rsidP="006E7917">
      <w:pPr>
        <w:spacing w:before="120" w:after="120" w:line="360"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2E517D" w:rsidRPr="002E517D" w:rsidRDefault="002E517D" w:rsidP="002E517D">
      <w:pPr>
        <w:jc w:val="center"/>
        <w:rPr>
          <w:rFonts w:ascii="Arial" w:eastAsia="Calibri" w:hAnsi="Arial" w:cs="Arial"/>
          <w:b/>
          <w:lang w:val="en-ZA"/>
        </w:rPr>
      </w:pPr>
      <w:r w:rsidRPr="002E517D">
        <w:rPr>
          <w:rFonts w:ascii="Arial" w:eastAsia="Calibri" w:hAnsi="Arial" w:cs="Arial"/>
          <w:b/>
          <w:lang w:val="en-ZA"/>
        </w:rPr>
        <w:t>MINISTRY:  JUSTICE AND CORRECTIONAL SERVICES</w:t>
      </w:r>
    </w:p>
    <w:p w:rsidR="002E517D" w:rsidRPr="002E517D" w:rsidRDefault="002E517D" w:rsidP="002E517D">
      <w:pPr>
        <w:jc w:val="center"/>
        <w:outlineLvl w:val="0"/>
        <w:rPr>
          <w:rFonts w:ascii="Arial" w:eastAsia="Arial Unicode MS" w:hAnsi="Arial"/>
          <w:b/>
          <w:color w:val="000000"/>
          <w:szCs w:val="20"/>
          <w:lang w:val="en-ZA" w:eastAsia="en-ZA"/>
        </w:rPr>
      </w:pPr>
      <w:r w:rsidRPr="002E517D">
        <w:rPr>
          <w:rFonts w:ascii="Arial" w:eastAsia="Arial Unicode MS" w:hAnsi="Arial Unicode MS"/>
          <w:b/>
          <w:color w:val="000000"/>
          <w:szCs w:val="20"/>
          <w:lang w:val="en-ZA" w:eastAsia="en-ZA"/>
        </w:rPr>
        <w:t>REPUBLIC OF SOUTH AFRICA</w:t>
      </w:r>
    </w:p>
    <w:p w:rsidR="002E517D" w:rsidRPr="002E517D" w:rsidRDefault="002E517D" w:rsidP="002E517D">
      <w:pPr>
        <w:rPr>
          <w:rFonts w:ascii="Calibri" w:eastAsia="Calibri" w:hAnsi="Calibri"/>
          <w:sz w:val="22"/>
          <w:szCs w:val="22"/>
          <w:lang w:val="en-ZA"/>
        </w:rPr>
      </w:pPr>
    </w:p>
    <w:p w:rsidR="002E517D" w:rsidRDefault="002E517D" w:rsidP="002E517D">
      <w:pPr>
        <w:pBdr>
          <w:bottom w:val="single" w:sz="4" w:space="1" w:color="auto"/>
        </w:pBdr>
        <w:spacing w:before="120" w:after="120" w:line="360" w:lineRule="auto"/>
        <w:jc w:val="center"/>
        <w:rPr>
          <w:rFonts w:ascii="Arial" w:eastAsia="Calibri" w:hAnsi="Arial" w:cs="Arial"/>
          <w:b/>
          <w:bCs/>
          <w:lang w:val="en-ZA"/>
        </w:rPr>
      </w:pPr>
    </w:p>
    <w:p w:rsidR="00130BDB" w:rsidRPr="008C0966" w:rsidRDefault="00130BDB" w:rsidP="002E517D">
      <w:pPr>
        <w:spacing w:before="120" w:after="120" w:line="360"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E517D" w:rsidP="002E517D">
      <w:pPr>
        <w:spacing w:before="120" w:after="120" w:line="360"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E517D" w:rsidP="002E517D">
      <w:pPr>
        <w:spacing w:before="120" w:after="120" w:line="360"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764F29">
        <w:rPr>
          <w:rFonts w:ascii="Arial" w:eastAsia="Calibri" w:hAnsi="Arial" w:cs="Arial"/>
          <w:b/>
          <w:bCs/>
          <w:lang w:val="en-GB"/>
        </w:rPr>
        <w:t>631</w:t>
      </w:r>
    </w:p>
    <w:p w:rsidR="00130BDB" w:rsidRPr="002E517D" w:rsidRDefault="00130BDB" w:rsidP="002E517D">
      <w:pPr>
        <w:spacing w:before="120" w:after="120" w:line="360" w:lineRule="auto"/>
        <w:rPr>
          <w:rFonts w:ascii="Arial" w:eastAsia="Calibri" w:hAnsi="Arial" w:cs="Arial"/>
          <w:b/>
          <w:bCs/>
          <w:lang w:val="en-GB"/>
        </w:rPr>
      </w:pPr>
      <w:r w:rsidRPr="002E517D">
        <w:rPr>
          <w:rFonts w:ascii="Arial" w:eastAsia="Calibri" w:hAnsi="Arial" w:cs="Arial"/>
          <w:b/>
          <w:bCs/>
          <w:lang w:val="en-GB"/>
        </w:rPr>
        <w:t xml:space="preserve">DATE OF QUESTION: </w:t>
      </w:r>
      <w:r w:rsidR="00E25344" w:rsidRPr="002E517D">
        <w:rPr>
          <w:rFonts w:ascii="Arial" w:eastAsia="Calibri" w:hAnsi="Arial" w:cs="Arial"/>
          <w:b/>
          <w:bCs/>
          <w:lang w:val="en-GB"/>
        </w:rPr>
        <w:t>2</w:t>
      </w:r>
      <w:r w:rsidR="005D146C" w:rsidRPr="002E517D">
        <w:rPr>
          <w:rFonts w:ascii="Arial" w:eastAsia="Calibri" w:hAnsi="Arial" w:cs="Arial"/>
          <w:b/>
          <w:bCs/>
          <w:lang w:val="en-GB"/>
        </w:rPr>
        <w:t>6</w:t>
      </w:r>
      <w:r w:rsidR="002E517D" w:rsidRPr="002E517D">
        <w:rPr>
          <w:rFonts w:ascii="Arial" w:eastAsia="Calibri" w:hAnsi="Arial" w:cs="Arial"/>
          <w:b/>
          <w:bCs/>
          <w:lang w:val="en-GB"/>
        </w:rPr>
        <w:t xml:space="preserve"> AUGUST </w:t>
      </w:r>
      <w:r w:rsidRPr="002E517D">
        <w:rPr>
          <w:rFonts w:ascii="Arial" w:eastAsia="Calibri" w:hAnsi="Arial" w:cs="Arial"/>
          <w:b/>
          <w:bCs/>
          <w:lang w:val="en-GB"/>
        </w:rPr>
        <w:t>20</w:t>
      </w:r>
      <w:r w:rsidR="003F2E8D" w:rsidRPr="002E517D">
        <w:rPr>
          <w:rFonts w:ascii="Arial" w:eastAsia="Calibri" w:hAnsi="Arial" w:cs="Arial"/>
          <w:b/>
          <w:bCs/>
          <w:lang w:val="en-GB"/>
        </w:rPr>
        <w:t>2</w:t>
      </w:r>
      <w:r w:rsidR="00CC7543" w:rsidRPr="002E517D">
        <w:rPr>
          <w:rFonts w:ascii="Arial" w:eastAsia="Calibri" w:hAnsi="Arial" w:cs="Arial"/>
          <w:b/>
          <w:bCs/>
          <w:lang w:val="en-GB"/>
        </w:rPr>
        <w:t>2</w:t>
      </w:r>
    </w:p>
    <w:p w:rsidR="002E517D" w:rsidRPr="002E517D" w:rsidRDefault="002E517D" w:rsidP="002E517D">
      <w:pPr>
        <w:spacing w:before="120" w:after="120" w:line="360" w:lineRule="auto"/>
        <w:rPr>
          <w:rFonts w:ascii="Arial" w:eastAsia="Calibri" w:hAnsi="Arial" w:cs="Arial"/>
          <w:b/>
          <w:bCs/>
          <w:lang w:val="en-GB"/>
        </w:rPr>
      </w:pPr>
      <w:r w:rsidRPr="002E517D">
        <w:rPr>
          <w:rFonts w:ascii="Arial" w:eastAsia="Calibri" w:hAnsi="Arial" w:cs="Arial"/>
          <w:b/>
          <w:bCs/>
          <w:lang w:val="en-GB"/>
        </w:rPr>
        <w:t>DATE OF SUBMISSION: 09 SEPTEMBER 2022</w:t>
      </w:r>
    </w:p>
    <w:p w:rsidR="004E42FA" w:rsidRPr="004E42FA" w:rsidRDefault="004E42FA" w:rsidP="006E7917">
      <w:pPr>
        <w:spacing w:before="120" w:after="120" w:line="360" w:lineRule="auto"/>
        <w:jc w:val="both"/>
        <w:rPr>
          <w:rFonts w:ascii="Arial" w:hAnsi="Arial" w:cs="Arial"/>
          <w:b/>
          <w:bCs/>
          <w:lang w:val="en-ZA"/>
        </w:rPr>
      </w:pPr>
      <w:r w:rsidRPr="004E42FA">
        <w:rPr>
          <w:rFonts w:ascii="Arial" w:hAnsi="Arial" w:cs="Arial"/>
          <w:b/>
          <w:bCs/>
          <w:lang w:val="en-ZA"/>
        </w:rPr>
        <w:t xml:space="preserve">Adv G Breytenbach (DA) to ask the Minister of Justice and Correctional Services: </w:t>
      </w:r>
    </w:p>
    <w:p w:rsidR="00764F29" w:rsidRDefault="00764F29" w:rsidP="0040395E">
      <w:pPr>
        <w:spacing w:before="120" w:after="120" w:line="360" w:lineRule="auto"/>
        <w:jc w:val="both"/>
        <w:rPr>
          <w:rFonts w:ascii="Arial" w:hAnsi="Arial" w:cs="Arial"/>
          <w:lang w:val="en-ZA"/>
        </w:rPr>
      </w:pPr>
      <w:r w:rsidRPr="00764F29">
        <w:rPr>
          <w:rFonts w:ascii="Arial" w:hAnsi="Arial" w:cs="Arial"/>
          <w:lang w:val="en-ZA"/>
        </w:rPr>
        <w:t>(a</w:t>
      </w:r>
      <w:r>
        <w:rPr>
          <w:rFonts w:ascii="Arial" w:hAnsi="Arial" w:cs="Arial"/>
          <w:lang w:val="en-ZA"/>
        </w:rPr>
        <w:t xml:space="preserve">) </w:t>
      </w:r>
      <w:r w:rsidRPr="00764F29">
        <w:rPr>
          <w:rFonts w:ascii="Arial" w:hAnsi="Arial" w:cs="Arial"/>
          <w:lang w:val="en-ZA"/>
        </w:rPr>
        <w:t xml:space="preserve">What (i) was the initial (aa) projected cost and (bb) envisaged completion date of the Integrated Justice System and (ii) has been the total cost of development of the Integrated Justice System to date and (b) on what date is the Integrated Justice System envisaged to be (i) completed and (ii) rolled out to all courts in the Republic? </w:t>
      </w:r>
    </w:p>
    <w:p w:rsidR="00764F29" w:rsidRPr="00764F29" w:rsidRDefault="00764F29" w:rsidP="006E7917">
      <w:pPr>
        <w:spacing w:before="120" w:after="120" w:line="360" w:lineRule="auto"/>
        <w:jc w:val="right"/>
        <w:rPr>
          <w:rFonts w:ascii="Arial" w:hAnsi="Arial" w:cs="Arial"/>
          <w:b/>
          <w:lang w:val="en-ZA"/>
        </w:rPr>
      </w:pPr>
      <w:r w:rsidRPr="00764F29">
        <w:rPr>
          <w:rFonts w:ascii="Arial" w:hAnsi="Arial" w:cs="Arial"/>
          <w:b/>
          <w:lang w:val="en-ZA"/>
        </w:rPr>
        <w:t>NW3147E</w:t>
      </w:r>
    </w:p>
    <w:p w:rsidR="00983C6B" w:rsidRDefault="009133DA" w:rsidP="00540629">
      <w:pPr>
        <w:spacing w:line="360" w:lineRule="auto"/>
        <w:jc w:val="both"/>
        <w:rPr>
          <w:rFonts w:ascii="Arial" w:hAnsi="Arial" w:cs="Arial"/>
          <w:b/>
        </w:rPr>
      </w:pPr>
      <w:r w:rsidRPr="00880AAF">
        <w:rPr>
          <w:rFonts w:ascii="Arial" w:hAnsi="Arial" w:cs="Arial"/>
          <w:lang w:val="en-ZA"/>
        </w:rPr>
        <w:br w:type="page"/>
      </w:r>
      <w:r w:rsidR="0007655F" w:rsidRPr="00880AAF">
        <w:rPr>
          <w:rFonts w:ascii="Arial" w:hAnsi="Arial" w:cs="Arial"/>
          <w:b/>
        </w:rPr>
        <w:lastRenderedPageBreak/>
        <w:t>REPLY:</w:t>
      </w:r>
    </w:p>
    <w:p w:rsidR="00540629" w:rsidRPr="00880AAF" w:rsidRDefault="00540629" w:rsidP="00540629">
      <w:pPr>
        <w:spacing w:line="360" w:lineRule="auto"/>
        <w:jc w:val="both"/>
        <w:rPr>
          <w:rFonts w:ascii="Arial" w:hAnsi="Arial" w:cs="Arial"/>
          <w:lang w:val="en-ZA"/>
        </w:rPr>
      </w:pPr>
    </w:p>
    <w:p w:rsidR="0040395E" w:rsidRPr="0040395E" w:rsidRDefault="0040395E" w:rsidP="00540629">
      <w:pPr>
        <w:spacing w:line="360" w:lineRule="auto"/>
        <w:jc w:val="both"/>
        <w:rPr>
          <w:rFonts w:ascii="Arial" w:eastAsia="Calibri" w:hAnsi="Arial" w:cs="Arial"/>
          <w:lang w:val="en-ZA"/>
        </w:rPr>
      </w:pPr>
      <w:r w:rsidRPr="00F83AD6">
        <w:rPr>
          <w:rFonts w:ascii="Arial" w:eastAsia="Calibri" w:hAnsi="Arial" w:cs="Arial"/>
          <w:bCs/>
        </w:rPr>
        <w:t xml:space="preserve">With regards to the </w:t>
      </w:r>
      <w:r w:rsidR="00540629" w:rsidRPr="00F83AD6">
        <w:rPr>
          <w:rFonts w:ascii="Arial" w:eastAsia="Calibri" w:hAnsi="Arial" w:cs="Arial"/>
          <w:bCs/>
        </w:rPr>
        <w:t xml:space="preserve">Integrated </w:t>
      </w:r>
      <w:r w:rsidR="00F83AD6">
        <w:rPr>
          <w:rFonts w:ascii="Arial" w:eastAsia="Calibri" w:hAnsi="Arial" w:cs="Arial"/>
          <w:bCs/>
        </w:rPr>
        <w:t>Justice System (</w:t>
      </w:r>
      <w:r w:rsidRPr="00F83AD6">
        <w:rPr>
          <w:rFonts w:ascii="Arial" w:eastAsia="Calibri" w:hAnsi="Arial" w:cs="Arial"/>
          <w:bCs/>
        </w:rPr>
        <w:t>IJS</w:t>
      </w:r>
      <w:r w:rsidR="00F83AD6">
        <w:rPr>
          <w:rFonts w:ascii="Arial" w:eastAsia="Calibri" w:hAnsi="Arial" w:cs="Arial"/>
          <w:bCs/>
        </w:rPr>
        <w:t>)</w:t>
      </w:r>
      <w:r w:rsidRPr="00F83AD6">
        <w:rPr>
          <w:rFonts w:ascii="Arial" w:eastAsia="Calibri" w:hAnsi="Arial" w:cs="Arial"/>
          <w:bCs/>
        </w:rPr>
        <w:t xml:space="preserve"> initial projected costs</w:t>
      </w:r>
      <w:r w:rsidR="00F83AD6" w:rsidRPr="00F83AD6">
        <w:rPr>
          <w:rFonts w:ascii="Arial" w:eastAsia="Calibri" w:hAnsi="Arial" w:cs="Arial"/>
          <w:bCs/>
        </w:rPr>
        <w:t>, as a way of giving</w:t>
      </w:r>
      <w:r w:rsidRPr="00540629">
        <w:rPr>
          <w:rFonts w:ascii="Arial" w:eastAsia="Calibri" w:hAnsi="Arial" w:cs="Arial"/>
        </w:rPr>
        <w:t xml:space="preserve"> background/overview of the IJS Programme</w:t>
      </w:r>
      <w:r w:rsidR="00F83AD6">
        <w:rPr>
          <w:rFonts w:ascii="Arial" w:eastAsia="Calibri" w:hAnsi="Arial" w:cs="Arial"/>
        </w:rPr>
        <w:t>, t</w:t>
      </w:r>
      <w:r w:rsidRPr="0040395E">
        <w:rPr>
          <w:rFonts w:ascii="Arial" w:eastAsia="Calibri" w:hAnsi="Arial" w:cs="Arial"/>
          <w:lang w:val="en-ZA"/>
        </w:rPr>
        <w:t>he Programme was conceptualised upon approval of the National Crime</w:t>
      </w:r>
      <w:r>
        <w:rPr>
          <w:rFonts w:ascii="Arial" w:eastAsia="Calibri" w:hAnsi="Arial" w:cs="Arial"/>
          <w:lang w:val="en-ZA"/>
        </w:rPr>
        <w:t xml:space="preserve"> </w:t>
      </w:r>
      <w:r w:rsidRPr="0040395E">
        <w:rPr>
          <w:rFonts w:ascii="Arial" w:eastAsia="Calibri" w:hAnsi="Arial" w:cs="Arial"/>
          <w:lang w:val="en-ZA"/>
        </w:rPr>
        <w:t>Prevention Strategy by Cabinet in</w:t>
      </w:r>
      <w:r>
        <w:rPr>
          <w:rFonts w:ascii="Arial" w:eastAsia="Calibri" w:hAnsi="Arial" w:cs="Arial"/>
          <w:lang w:val="en-ZA"/>
        </w:rPr>
        <w:t xml:space="preserve"> </w:t>
      </w:r>
      <w:r w:rsidRPr="0040395E">
        <w:rPr>
          <w:rFonts w:ascii="Arial" w:eastAsia="Calibri" w:hAnsi="Arial" w:cs="Arial"/>
          <w:lang w:val="en-ZA"/>
        </w:rPr>
        <w:t>1996 to modernise the Criminal Justice System</w:t>
      </w:r>
      <w:r w:rsidR="00F83AD6">
        <w:rPr>
          <w:rFonts w:ascii="Arial" w:eastAsia="Calibri" w:hAnsi="Arial" w:cs="Arial"/>
          <w:lang w:val="en-ZA"/>
        </w:rPr>
        <w:t xml:space="preserve"> (CJS)</w:t>
      </w:r>
      <w:r w:rsidRPr="0040395E">
        <w:rPr>
          <w:rFonts w:ascii="Arial" w:eastAsia="Calibri" w:hAnsi="Arial" w:cs="Arial"/>
          <w:lang w:val="en-ZA"/>
        </w:rPr>
        <w:t>.</w:t>
      </w:r>
    </w:p>
    <w:p w:rsidR="0040395E" w:rsidRPr="0040395E" w:rsidRDefault="0040395E" w:rsidP="00540629">
      <w:pPr>
        <w:spacing w:line="360" w:lineRule="auto"/>
        <w:ind w:left="709" w:hanging="709"/>
        <w:jc w:val="both"/>
        <w:rPr>
          <w:rFonts w:ascii="Arial" w:eastAsia="Calibri" w:hAnsi="Arial" w:cs="Arial"/>
          <w:lang w:val="en-ZA"/>
        </w:rPr>
      </w:pPr>
    </w:p>
    <w:p w:rsidR="0040395E" w:rsidRPr="0040395E" w:rsidRDefault="0040395E" w:rsidP="00540629">
      <w:pPr>
        <w:spacing w:line="360" w:lineRule="auto"/>
        <w:ind w:left="709" w:hanging="709"/>
        <w:jc w:val="both"/>
        <w:rPr>
          <w:rFonts w:ascii="Arial" w:eastAsia="Calibri" w:hAnsi="Arial" w:cs="Arial"/>
          <w:lang w:val="en-ZA"/>
        </w:rPr>
      </w:pPr>
      <w:r w:rsidRPr="0040395E">
        <w:rPr>
          <w:rFonts w:ascii="Arial" w:eastAsia="Calibri" w:hAnsi="Arial" w:cs="Arial"/>
          <w:lang w:val="en-ZA"/>
        </w:rPr>
        <w:t xml:space="preserve">The </w:t>
      </w:r>
      <w:r w:rsidR="00F83AD6">
        <w:rPr>
          <w:rFonts w:ascii="Arial" w:eastAsia="Calibri" w:hAnsi="Arial" w:cs="Arial"/>
          <w:lang w:val="en-ZA"/>
        </w:rPr>
        <w:t xml:space="preserve">IJS </w:t>
      </w:r>
      <w:r w:rsidRPr="0040395E">
        <w:rPr>
          <w:rFonts w:ascii="Arial" w:eastAsia="Calibri" w:hAnsi="Arial" w:cs="Arial"/>
          <w:lang w:val="en-ZA"/>
        </w:rPr>
        <w:t>Programme was further given impetus by:</w:t>
      </w:r>
    </w:p>
    <w:p w:rsidR="0040395E" w:rsidRPr="0040395E" w:rsidRDefault="0040395E" w:rsidP="00540629">
      <w:pPr>
        <w:numPr>
          <w:ilvl w:val="0"/>
          <w:numId w:val="22"/>
        </w:numPr>
        <w:spacing w:line="360" w:lineRule="auto"/>
        <w:jc w:val="both"/>
        <w:rPr>
          <w:rFonts w:ascii="Arial" w:eastAsia="Calibri" w:hAnsi="Arial" w:cs="Arial"/>
          <w:lang w:val="en-ZA"/>
        </w:rPr>
      </w:pPr>
      <w:r w:rsidRPr="0040395E">
        <w:rPr>
          <w:rFonts w:ascii="Arial" w:eastAsia="Calibri" w:hAnsi="Arial" w:cs="Arial"/>
          <w:lang w:val="en-ZA"/>
        </w:rPr>
        <w:t>Review of the Criminal Justice System</w:t>
      </w:r>
      <w:r w:rsidR="00F83AD6">
        <w:rPr>
          <w:rFonts w:ascii="Arial" w:eastAsia="Calibri" w:hAnsi="Arial" w:cs="Arial"/>
          <w:lang w:val="en-ZA"/>
        </w:rPr>
        <w:t xml:space="preserve"> </w:t>
      </w:r>
      <w:r w:rsidRPr="0040395E">
        <w:rPr>
          <w:rFonts w:ascii="Arial" w:eastAsia="Calibri" w:hAnsi="Arial" w:cs="Arial"/>
          <w:lang w:val="en-ZA"/>
        </w:rPr>
        <w:t xml:space="preserve">– “The </w:t>
      </w:r>
      <w:r w:rsidR="00F83AD6">
        <w:rPr>
          <w:rFonts w:ascii="Arial" w:eastAsia="Calibri" w:hAnsi="Arial" w:cs="Arial"/>
          <w:lang w:val="en-ZA"/>
        </w:rPr>
        <w:t>s</w:t>
      </w:r>
      <w:r w:rsidRPr="0040395E">
        <w:rPr>
          <w:rFonts w:ascii="Arial" w:eastAsia="Calibri" w:hAnsi="Arial" w:cs="Arial"/>
          <w:lang w:val="en-ZA"/>
        </w:rPr>
        <w:t xml:space="preserve">even-point plan” (2007) </w:t>
      </w:r>
    </w:p>
    <w:p w:rsidR="0040395E" w:rsidRPr="0040395E" w:rsidRDefault="0040395E" w:rsidP="00540629">
      <w:pPr>
        <w:numPr>
          <w:ilvl w:val="0"/>
          <w:numId w:val="22"/>
        </w:numPr>
        <w:spacing w:line="360" w:lineRule="auto"/>
        <w:jc w:val="both"/>
        <w:rPr>
          <w:rFonts w:ascii="Arial" w:eastAsia="Calibri" w:hAnsi="Arial" w:cs="Arial"/>
          <w:lang w:val="en-ZA"/>
        </w:rPr>
      </w:pPr>
      <w:r w:rsidRPr="0040395E">
        <w:rPr>
          <w:rFonts w:ascii="Arial" w:eastAsia="Calibri" w:hAnsi="Arial" w:cs="Arial"/>
          <w:lang w:val="en-ZA"/>
        </w:rPr>
        <w:t>Outcome 3 of the JCPS Cluster Delivery Agreement - “All people in South Africa are and feel safe”</w:t>
      </w:r>
    </w:p>
    <w:p w:rsidR="0040395E" w:rsidRPr="0040395E" w:rsidRDefault="0040395E" w:rsidP="00540629">
      <w:pPr>
        <w:numPr>
          <w:ilvl w:val="0"/>
          <w:numId w:val="22"/>
        </w:numPr>
        <w:spacing w:line="360" w:lineRule="auto"/>
        <w:jc w:val="both"/>
        <w:rPr>
          <w:rFonts w:ascii="Arial" w:eastAsia="Calibri" w:hAnsi="Arial" w:cs="Arial"/>
          <w:lang w:val="en-ZA"/>
        </w:rPr>
      </w:pPr>
      <w:r w:rsidRPr="0040395E">
        <w:rPr>
          <w:rFonts w:ascii="Arial" w:eastAsia="Calibri" w:hAnsi="Arial" w:cs="Arial"/>
          <w:lang w:val="en-ZA"/>
        </w:rPr>
        <w:t>National Development Plan (NDP vision 2030)</w:t>
      </w:r>
    </w:p>
    <w:p w:rsidR="0040395E" w:rsidRPr="0040395E" w:rsidRDefault="0040395E" w:rsidP="00540629">
      <w:pPr>
        <w:spacing w:line="360" w:lineRule="auto"/>
        <w:ind w:left="709" w:hanging="709"/>
        <w:jc w:val="both"/>
        <w:rPr>
          <w:rFonts w:ascii="Arial" w:eastAsia="Calibri" w:hAnsi="Arial" w:cs="Arial"/>
          <w:lang w:val="en-ZA"/>
        </w:rPr>
      </w:pPr>
    </w:p>
    <w:p w:rsidR="0040395E" w:rsidRPr="0040395E" w:rsidRDefault="0040395E" w:rsidP="00540629">
      <w:pPr>
        <w:spacing w:line="360" w:lineRule="auto"/>
        <w:jc w:val="both"/>
        <w:rPr>
          <w:rFonts w:ascii="Arial" w:eastAsia="Calibri" w:hAnsi="Arial" w:cs="Arial"/>
          <w:lang w:val="en-ZA"/>
        </w:rPr>
      </w:pPr>
      <w:r w:rsidRPr="0040395E">
        <w:rPr>
          <w:rFonts w:ascii="Arial" w:eastAsia="Calibri" w:hAnsi="Arial" w:cs="Arial"/>
          <w:lang w:val="en-ZA"/>
        </w:rPr>
        <w:t>The primary objective of the IJS is to transform South Africa’s CJS into a modern, efficient, effective &amp; integrated system by:</w:t>
      </w:r>
    </w:p>
    <w:p w:rsidR="0040395E" w:rsidRPr="0040395E" w:rsidRDefault="0040395E" w:rsidP="00540629">
      <w:pPr>
        <w:numPr>
          <w:ilvl w:val="0"/>
          <w:numId w:val="23"/>
        </w:numPr>
        <w:spacing w:line="360" w:lineRule="auto"/>
        <w:jc w:val="both"/>
        <w:rPr>
          <w:rFonts w:ascii="Arial" w:eastAsia="Calibri" w:hAnsi="Arial" w:cs="Arial"/>
          <w:noProof/>
        </w:rPr>
      </w:pPr>
      <w:r w:rsidRPr="0040395E">
        <w:rPr>
          <w:rFonts w:ascii="Arial" w:eastAsia="Calibri" w:hAnsi="Arial" w:cs="Arial"/>
          <w:noProof/>
        </w:rPr>
        <w:t>Electronically enabling and integrating the end-to-end criminal justice business processes (i.e. from the report of a crime to the release of a convicted person), through technology solutions; and</w:t>
      </w:r>
    </w:p>
    <w:p w:rsidR="0040395E" w:rsidRPr="0040395E" w:rsidRDefault="0040395E" w:rsidP="00540629">
      <w:pPr>
        <w:numPr>
          <w:ilvl w:val="0"/>
          <w:numId w:val="23"/>
        </w:numPr>
        <w:spacing w:line="360" w:lineRule="auto"/>
        <w:jc w:val="both"/>
        <w:rPr>
          <w:rFonts w:ascii="Arial" w:eastAsia="Calibri" w:hAnsi="Arial" w:cs="Arial"/>
          <w:noProof/>
        </w:rPr>
      </w:pPr>
      <w:r w:rsidRPr="0040395E">
        <w:rPr>
          <w:rFonts w:ascii="Arial" w:eastAsia="Calibri" w:hAnsi="Arial" w:cs="Arial"/>
          <w:noProof/>
        </w:rPr>
        <w:t>Managing the related inter-departmental information exchanges across the CJS</w:t>
      </w:r>
    </w:p>
    <w:p w:rsidR="0040395E" w:rsidRPr="0040395E" w:rsidRDefault="0040395E" w:rsidP="00540629">
      <w:pPr>
        <w:spacing w:line="360" w:lineRule="auto"/>
        <w:ind w:left="709" w:hanging="720"/>
        <w:jc w:val="both"/>
        <w:rPr>
          <w:rFonts w:ascii="Arial" w:eastAsia="Calibri" w:hAnsi="Arial" w:cs="Arial"/>
          <w:noProof/>
        </w:rPr>
      </w:pP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lang w:val="en-ZA"/>
        </w:rPr>
        <w:t>Eight government departments, agencies and authorities are involved in the criminal justice value chain, from the time a crime is detected or reported, through to investigation, prosecution and delivery of justice.</w:t>
      </w:r>
    </w:p>
    <w:p w:rsidR="0040395E" w:rsidRPr="0040395E" w:rsidRDefault="0040395E" w:rsidP="00540629">
      <w:pPr>
        <w:spacing w:line="360" w:lineRule="auto"/>
        <w:ind w:left="709" w:hanging="720"/>
        <w:jc w:val="both"/>
        <w:rPr>
          <w:rFonts w:ascii="Arial" w:eastAsia="Calibri" w:hAnsi="Arial" w:cs="Arial"/>
          <w:noProof/>
        </w:rPr>
      </w:pP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lang w:val="en-ZA"/>
        </w:rPr>
        <w:t>The implementation strategy of the IJS Programme has been divided into three steps to facilitate an effective modernisation process whilst realising early benefits:</w:t>
      </w: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b/>
          <w:lang w:val="en-ZA"/>
        </w:rPr>
        <w:t>Step 1</w:t>
      </w:r>
      <w:r w:rsidRPr="00540629">
        <w:rPr>
          <w:rFonts w:ascii="Arial" w:eastAsia="Calibri" w:hAnsi="Arial" w:cs="Arial"/>
          <w:lang w:val="en-ZA"/>
        </w:rPr>
        <w:t>: Creating departmental system capacity to automate business process flow;</w:t>
      </w: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b/>
          <w:lang w:val="en-ZA"/>
        </w:rPr>
        <w:t>Step 2</w:t>
      </w:r>
      <w:r w:rsidRPr="00540629">
        <w:rPr>
          <w:rFonts w:ascii="Arial" w:eastAsia="Calibri" w:hAnsi="Arial" w:cs="Arial"/>
          <w:lang w:val="en-ZA"/>
        </w:rPr>
        <w:t>: Integrating the criminal justice business processes; and</w:t>
      </w:r>
    </w:p>
    <w:p w:rsidR="00540629" w:rsidRDefault="0040395E" w:rsidP="00540629">
      <w:pPr>
        <w:spacing w:line="360" w:lineRule="auto"/>
        <w:jc w:val="both"/>
        <w:rPr>
          <w:rFonts w:ascii="Arial" w:eastAsia="Calibri" w:hAnsi="Arial" w:cs="Arial"/>
          <w:lang w:val="en-ZA"/>
        </w:rPr>
      </w:pPr>
      <w:r w:rsidRPr="00540629">
        <w:rPr>
          <w:rFonts w:ascii="Arial" w:eastAsia="Calibri" w:hAnsi="Arial" w:cs="Arial"/>
          <w:b/>
          <w:lang w:val="en-ZA"/>
        </w:rPr>
        <w:t>Step 3</w:t>
      </w:r>
      <w:r w:rsidRPr="00540629">
        <w:rPr>
          <w:rFonts w:ascii="Arial" w:eastAsia="Calibri" w:hAnsi="Arial" w:cs="Arial"/>
          <w:lang w:val="en-ZA"/>
        </w:rPr>
        <w:t xml:space="preserve">: Instrumentation of the criminal justice process to manage identified key </w:t>
      </w:r>
    </w:p>
    <w:p w:rsidR="0040395E" w:rsidRPr="00540629" w:rsidRDefault="0040395E" w:rsidP="00540629">
      <w:pPr>
        <w:spacing w:line="360" w:lineRule="auto"/>
        <w:ind w:firstLine="720"/>
        <w:jc w:val="both"/>
        <w:rPr>
          <w:rFonts w:ascii="Arial" w:eastAsia="Calibri" w:hAnsi="Arial" w:cs="Arial"/>
          <w:lang w:val="en-ZA"/>
        </w:rPr>
      </w:pPr>
      <w:r w:rsidRPr="00540629">
        <w:rPr>
          <w:rFonts w:ascii="Arial" w:eastAsia="Calibri" w:hAnsi="Arial" w:cs="Arial"/>
          <w:lang w:val="en-ZA"/>
        </w:rPr>
        <w:t>performance indicators.</w:t>
      </w:r>
    </w:p>
    <w:p w:rsidR="0040395E" w:rsidRPr="00540629" w:rsidRDefault="00F83AD6" w:rsidP="00540629">
      <w:pPr>
        <w:spacing w:line="360" w:lineRule="auto"/>
        <w:jc w:val="both"/>
        <w:rPr>
          <w:rFonts w:ascii="Arial" w:eastAsia="Calibri" w:hAnsi="Arial" w:cs="Arial"/>
          <w:lang w:val="en-ZA"/>
        </w:rPr>
      </w:pPr>
      <w:r>
        <w:rPr>
          <w:rFonts w:ascii="Arial" w:eastAsia="Calibri" w:hAnsi="Arial" w:cs="Arial"/>
          <w:lang w:val="en-ZA"/>
        </w:rPr>
        <w:t>One of the focus areas of the P</w:t>
      </w:r>
      <w:r w:rsidR="0040395E" w:rsidRPr="00540629">
        <w:rPr>
          <w:rFonts w:ascii="Arial" w:eastAsia="Calibri" w:hAnsi="Arial" w:cs="Arial"/>
          <w:lang w:val="en-ZA"/>
        </w:rPr>
        <w:t>rogramme has been building sufficient capacity in areas of forensic services, detective services and prosecution services to support our efforts to reduce the overall levels of crime, particularly “contact” crimes.</w:t>
      </w:r>
    </w:p>
    <w:p w:rsidR="0040395E" w:rsidRPr="00540629" w:rsidRDefault="0040395E" w:rsidP="00540629">
      <w:pPr>
        <w:spacing w:line="360" w:lineRule="auto"/>
        <w:jc w:val="both"/>
        <w:rPr>
          <w:rFonts w:ascii="Arial" w:eastAsia="Calibri" w:hAnsi="Arial" w:cs="Arial"/>
          <w:lang w:val="en-ZA"/>
        </w:rPr>
      </w:pP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lang w:val="en-ZA"/>
        </w:rPr>
        <w:t>To improve the efficiency and effectiveness of the end-to-end CJS, extensive enabling department capacity building has been undertaken by the IJS programme. The benefits from system modernisations and case workflow integrations are only realised when pre-requisite departmental systems and ICT infrastructure is in place.</w:t>
      </w:r>
    </w:p>
    <w:p w:rsidR="0040395E" w:rsidRPr="0040395E" w:rsidRDefault="0040395E" w:rsidP="00540629">
      <w:pPr>
        <w:spacing w:line="360" w:lineRule="auto"/>
        <w:ind w:left="709" w:hanging="720"/>
        <w:jc w:val="both"/>
        <w:rPr>
          <w:rFonts w:ascii="Arial" w:eastAsia="Calibri" w:hAnsi="Arial" w:cs="Arial"/>
          <w:noProof/>
        </w:rPr>
      </w:pPr>
    </w:p>
    <w:p w:rsidR="0040395E" w:rsidRPr="0040395E" w:rsidRDefault="0040395E" w:rsidP="00540629">
      <w:pPr>
        <w:spacing w:line="360" w:lineRule="auto"/>
        <w:ind w:left="709" w:hanging="720"/>
        <w:jc w:val="both"/>
        <w:rPr>
          <w:rFonts w:ascii="Arial" w:eastAsia="Calibri" w:hAnsi="Arial" w:cs="Arial"/>
          <w:b/>
          <w:bCs/>
          <w:noProof/>
          <w:u w:val="single"/>
        </w:rPr>
      </w:pPr>
      <w:r w:rsidRPr="0040395E">
        <w:rPr>
          <w:rFonts w:ascii="Arial" w:eastAsia="Calibri" w:hAnsi="Arial" w:cs="Arial"/>
          <w:b/>
          <w:bCs/>
          <w:noProof/>
          <w:u w:val="single"/>
        </w:rPr>
        <w:t>Inter-Departmental Information exchanges</w:t>
      </w: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lang w:val="en-ZA"/>
        </w:rPr>
        <w:t xml:space="preserve">It is also important to note that IJS </w:t>
      </w:r>
      <w:r w:rsidR="00540629" w:rsidRPr="00540629">
        <w:rPr>
          <w:rFonts w:ascii="Arial" w:eastAsia="Calibri" w:hAnsi="Arial" w:cs="Arial"/>
          <w:lang w:val="en-ZA"/>
        </w:rPr>
        <w:t xml:space="preserve">is not a system but a </w:t>
      </w:r>
      <w:r w:rsidRPr="00540629">
        <w:rPr>
          <w:rFonts w:ascii="Arial" w:eastAsia="Calibri" w:hAnsi="Arial" w:cs="Arial"/>
          <w:lang w:val="en-ZA"/>
        </w:rPr>
        <w:t>programme comprising of multiple projects across eight CJS me</w:t>
      </w:r>
      <w:r w:rsidR="00F83AD6">
        <w:rPr>
          <w:rFonts w:ascii="Arial" w:eastAsia="Calibri" w:hAnsi="Arial" w:cs="Arial"/>
          <w:lang w:val="en-ZA"/>
        </w:rPr>
        <w:t xml:space="preserve">mber departments. The IJS also </w:t>
      </w:r>
      <w:r w:rsidRPr="00540629">
        <w:rPr>
          <w:rFonts w:ascii="Arial" w:eastAsia="Calibri" w:hAnsi="Arial" w:cs="Arial"/>
          <w:lang w:val="en-ZA"/>
        </w:rPr>
        <w:t xml:space="preserve">has what is called the Transversal Hub. The Transversal hub manages the related inter-departmental information exchanges across the CJS member departments. </w:t>
      </w:r>
    </w:p>
    <w:p w:rsidR="0040395E" w:rsidRPr="0040395E" w:rsidRDefault="0040395E" w:rsidP="00540629">
      <w:pPr>
        <w:spacing w:line="360" w:lineRule="auto"/>
        <w:ind w:left="709" w:hanging="720"/>
        <w:jc w:val="both"/>
        <w:rPr>
          <w:rFonts w:ascii="Arial" w:eastAsia="Calibri" w:hAnsi="Arial" w:cs="Arial"/>
          <w:noProof/>
        </w:rPr>
      </w:pP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lang w:val="en-ZA"/>
        </w:rPr>
        <w:t>Currently, ten (10) government departments</w:t>
      </w:r>
      <w:r w:rsidR="004B5DBE">
        <w:rPr>
          <w:rFonts w:ascii="Arial" w:eastAsia="Calibri" w:hAnsi="Arial" w:cs="Arial"/>
          <w:lang w:val="en-ZA"/>
        </w:rPr>
        <w:t>/</w:t>
      </w:r>
      <w:r w:rsidRPr="00540629">
        <w:rPr>
          <w:rFonts w:ascii="Arial" w:eastAsia="Calibri" w:hAnsi="Arial" w:cs="Arial"/>
          <w:lang w:val="en-ZA"/>
        </w:rPr>
        <w:t>entities (S</w:t>
      </w:r>
      <w:r w:rsidR="004B5DBE">
        <w:rPr>
          <w:rFonts w:ascii="Arial" w:eastAsia="Calibri" w:hAnsi="Arial" w:cs="Arial"/>
          <w:lang w:val="en-ZA"/>
        </w:rPr>
        <w:t xml:space="preserve">outh </w:t>
      </w:r>
      <w:r w:rsidRPr="00540629">
        <w:rPr>
          <w:rFonts w:ascii="Arial" w:eastAsia="Calibri" w:hAnsi="Arial" w:cs="Arial"/>
          <w:lang w:val="en-ZA"/>
        </w:rPr>
        <w:t>A</w:t>
      </w:r>
      <w:r w:rsidR="004B5DBE">
        <w:rPr>
          <w:rFonts w:ascii="Arial" w:eastAsia="Calibri" w:hAnsi="Arial" w:cs="Arial"/>
          <w:lang w:val="en-ZA"/>
        </w:rPr>
        <w:t xml:space="preserve">frican </w:t>
      </w:r>
      <w:r w:rsidRPr="00540629">
        <w:rPr>
          <w:rFonts w:ascii="Arial" w:eastAsia="Calibri" w:hAnsi="Arial" w:cs="Arial"/>
          <w:lang w:val="en-ZA"/>
        </w:rPr>
        <w:t>P</w:t>
      </w:r>
      <w:r w:rsidR="004B5DBE">
        <w:rPr>
          <w:rFonts w:ascii="Arial" w:eastAsia="Calibri" w:hAnsi="Arial" w:cs="Arial"/>
          <w:lang w:val="en-ZA"/>
        </w:rPr>
        <w:t xml:space="preserve">olice </w:t>
      </w:r>
      <w:r w:rsidRPr="00540629">
        <w:rPr>
          <w:rFonts w:ascii="Arial" w:eastAsia="Calibri" w:hAnsi="Arial" w:cs="Arial"/>
          <w:lang w:val="en-ZA"/>
        </w:rPr>
        <w:t>S</w:t>
      </w:r>
      <w:r w:rsidR="004B5DBE">
        <w:rPr>
          <w:rFonts w:ascii="Arial" w:eastAsia="Calibri" w:hAnsi="Arial" w:cs="Arial"/>
          <w:lang w:val="en-ZA"/>
        </w:rPr>
        <w:t>ervice</w:t>
      </w:r>
      <w:r w:rsidRPr="00540629">
        <w:rPr>
          <w:rFonts w:ascii="Arial" w:eastAsia="Calibri" w:hAnsi="Arial" w:cs="Arial"/>
          <w:lang w:val="en-ZA"/>
        </w:rPr>
        <w:t>, N</w:t>
      </w:r>
      <w:r w:rsidR="004B5DBE">
        <w:rPr>
          <w:rFonts w:ascii="Arial" w:eastAsia="Calibri" w:hAnsi="Arial" w:cs="Arial"/>
          <w:lang w:val="en-ZA"/>
        </w:rPr>
        <w:t xml:space="preserve">ational </w:t>
      </w:r>
      <w:r w:rsidRPr="00540629">
        <w:rPr>
          <w:rFonts w:ascii="Arial" w:eastAsia="Calibri" w:hAnsi="Arial" w:cs="Arial"/>
          <w:lang w:val="en-ZA"/>
        </w:rPr>
        <w:t>P</w:t>
      </w:r>
      <w:r w:rsidR="004B5DBE">
        <w:rPr>
          <w:rFonts w:ascii="Arial" w:eastAsia="Calibri" w:hAnsi="Arial" w:cs="Arial"/>
          <w:lang w:val="en-ZA"/>
        </w:rPr>
        <w:t xml:space="preserve">rosecuting </w:t>
      </w:r>
      <w:r w:rsidRPr="00540629">
        <w:rPr>
          <w:rFonts w:ascii="Arial" w:eastAsia="Calibri" w:hAnsi="Arial" w:cs="Arial"/>
          <w:lang w:val="en-ZA"/>
        </w:rPr>
        <w:t>A</w:t>
      </w:r>
      <w:r w:rsidR="004B5DBE">
        <w:rPr>
          <w:rFonts w:ascii="Arial" w:eastAsia="Calibri" w:hAnsi="Arial" w:cs="Arial"/>
          <w:lang w:val="en-ZA"/>
        </w:rPr>
        <w:t>uthority</w:t>
      </w:r>
      <w:r w:rsidRPr="00540629">
        <w:rPr>
          <w:rFonts w:ascii="Arial" w:eastAsia="Calibri" w:hAnsi="Arial" w:cs="Arial"/>
          <w:lang w:val="en-ZA"/>
        </w:rPr>
        <w:t>, D</w:t>
      </w:r>
      <w:r w:rsidR="004B5DBE">
        <w:rPr>
          <w:rFonts w:ascii="Arial" w:eastAsia="Calibri" w:hAnsi="Arial" w:cs="Arial"/>
          <w:lang w:val="en-ZA"/>
        </w:rPr>
        <w:t xml:space="preserve">epartment </w:t>
      </w:r>
      <w:r w:rsidRPr="00540629">
        <w:rPr>
          <w:rFonts w:ascii="Arial" w:eastAsia="Calibri" w:hAnsi="Arial" w:cs="Arial"/>
          <w:lang w:val="en-ZA"/>
        </w:rPr>
        <w:t>o</w:t>
      </w:r>
      <w:r w:rsidR="004B5DBE">
        <w:rPr>
          <w:rFonts w:ascii="Arial" w:eastAsia="Calibri" w:hAnsi="Arial" w:cs="Arial"/>
          <w:lang w:val="en-ZA"/>
        </w:rPr>
        <w:t xml:space="preserve">f </w:t>
      </w:r>
      <w:r w:rsidRPr="00540629">
        <w:rPr>
          <w:rFonts w:ascii="Arial" w:eastAsia="Calibri" w:hAnsi="Arial" w:cs="Arial"/>
          <w:lang w:val="en-ZA"/>
        </w:rPr>
        <w:t>J</w:t>
      </w:r>
      <w:r w:rsidR="004B5DBE">
        <w:rPr>
          <w:rFonts w:ascii="Arial" w:eastAsia="Calibri" w:hAnsi="Arial" w:cs="Arial"/>
          <w:lang w:val="en-ZA"/>
        </w:rPr>
        <w:t xml:space="preserve">ustice and </w:t>
      </w:r>
      <w:r w:rsidRPr="00540629">
        <w:rPr>
          <w:rFonts w:ascii="Arial" w:eastAsia="Calibri" w:hAnsi="Arial" w:cs="Arial"/>
          <w:lang w:val="en-ZA"/>
        </w:rPr>
        <w:t>C</w:t>
      </w:r>
      <w:r w:rsidR="004B5DBE">
        <w:rPr>
          <w:rFonts w:ascii="Arial" w:eastAsia="Calibri" w:hAnsi="Arial" w:cs="Arial"/>
          <w:lang w:val="en-ZA"/>
        </w:rPr>
        <w:t xml:space="preserve">onstitutional </w:t>
      </w:r>
      <w:r w:rsidRPr="00540629">
        <w:rPr>
          <w:rFonts w:ascii="Arial" w:eastAsia="Calibri" w:hAnsi="Arial" w:cs="Arial"/>
          <w:lang w:val="en-ZA"/>
        </w:rPr>
        <w:t>D</w:t>
      </w:r>
      <w:r w:rsidR="004B5DBE">
        <w:rPr>
          <w:rFonts w:ascii="Arial" w:eastAsia="Calibri" w:hAnsi="Arial" w:cs="Arial"/>
          <w:lang w:val="en-ZA"/>
        </w:rPr>
        <w:t>evelopment</w:t>
      </w:r>
      <w:r w:rsidRPr="00540629">
        <w:rPr>
          <w:rFonts w:ascii="Arial" w:eastAsia="Calibri" w:hAnsi="Arial" w:cs="Arial"/>
          <w:lang w:val="en-ZA"/>
        </w:rPr>
        <w:t>, O</w:t>
      </w:r>
      <w:r w:rsidR="004B5DBE">
        <w:rPr>
          <w:rFonts w:ascii="Arial" w:eastAsia="Calibri" w:hAnsi="Arial" w:cs="Arial"/>
          <w:lang w:val="en-ZA"/>
        </w:rPr>
        <w:t xml:space="preserve">ffice of the </w:t>
      </w:r>
      <w:r w:rsidRPr="00540629">
        <w:rPr>
          <w:rFonts w:ascii="Arial" w:eastAsia="Calibri" w:hAnsi="Arial" w:cs="Arial"/>
          <w:lang w:val="en-ZA"/>
        </w:rPr>
        <w:t>C</w:t>
      </w:r>
      <w:r w:rsidR="004B5DBE">
        <w:rPr>
          <w:rFonts w:ascii="Arial" w:eastAsia="Calibri" w:hAnsi="Arial" w:cs="Arial"/>
          <w:lang w:val="en-ZA"/>
        </w:rPr>
        <w:t xml:space="preserve">hief </w:t>
      </w:r>
      <w:r w:rsidRPr="00540629">
        <w:rPr>
          <w:rFonts w:ascii="Arial" w:eastAsia="Calibri" w:hAnsi="Arial" w:cs="Arial"/>
          <w:lang w:val="en-ZA"/>
        </w:rPr>
        <w:t>J</w:t>
      </w:r>
      <w:r w:rsidR="004B5DBE">
        <w:rPr>
          <w:rFonts w:ascii="Arial" w:eastAsia="Calibri" w:hAnsi="Arial" w:cs="Arial"/>
          <w:lang w:val="en-ZA"/>
        </w:rPr>
        <w:t>ustice</w:t>
      </w:r>
      <w:r w:rsidRPr="00540629">
        <w:rPr>
          <w:rFonts w:ascii="Arial" w:eastAsia="Calibri" w:hAnsi="Arial" w:cs="Arial"/>
          <w:lang w:val="en-ZA"/>
        </w:rPr>
        <w:t>, D</w:t>
      </w:r>
      <w:r w:rsidR="004B5DBE">
        <w:rPr>
          <w:rFonts w:ascii="Arial" w:eastAsia="Calibri" w:hAnsi="Arial" w:cs="Arial"/>
          <w:lang w:val="en-ZA"/>
        </w:rPr>
        <w:t xml:space="preserve">epartment of </w:t>
      </w:r>
      <w:r w:rsidRPr="00540629">
        <w:rPr>
          <w:rFonts w:ascii="Arial" w:eastAsia="Calibri" w:hAnsi="Arial" w:cs="Arial"/>
          <w:lang w:val="en-ZA"/>
        </w:rPr>
        <w:t>C</w:t>
      </w:r>
      <w:r w:rsidR="004B5DBE">
        <w:rPr>
          <w:rFonts w:ascii="Arial" w:eastAsia="Calibri" w:hAnsi="Arial" w:cs="Arial"/>
          <w:lang w:val="en-ZA"/>
        </w:rPr>
        <w:t xml:space="preserve">orrectional </w:t>
      </w:r>
      <w:r w:rsidRPr="00540629">
        <w:rPr>
          <w:rFonts w:ascii="Arial" w:eastAsia="Calibri" w:hAnsi="Arial" w:cs="Arial"/>
          <w:lang w:val="en-ZA"/>
        </w:rPr>
        <w:t>S</w:t>
      </w:r>
      <w:r w:rsidR="004B5DBE">
        <w:rPr>
          <w:rFonts w:ascii="Arial" w:eastAsia="Calibri" w:hAnsi="Arial" w:cs="Arial"/>
          <w:lang w:val="en-ZA"/>
        </w:rPr>
        <w:t>ervice</w:t>
      </w:r>
      <w:r w:rsidRPr="00540629">
        <w:rPr>
          <w:rFonts w:ascii="Arial" w:eastAsia="Calibri" w:hAnsi="Arial" w:cs="Arial"/>
          <w:lang w:val="en-ZA"/>
        </w:rPr>
        <w:t>, D</w:t>
      </w:r>
      <w:r w:rsidR="004B5DBE">
        <w:rPr>
          <w:rFonts w:ascii="Arial" w:eastAsia="Calibri" w:hAnsi="Arial" w:cs="Arial"/>
          <w:lang w:val="en-ZA"/>
        </w:rPr>
        <w:t xml:space="preserve">epartment of </w:t>
      </w:r>
      <w:r w:rsidRPr="00540629">
        <w:rPr>
          <w:rFonts w:ascii="Arial" w:eastAsia="Calibri" w:hAnsi="Arial" w:cs="Arial"/>
          <w:lang w:val="en-ZA"/>
        </w:rPr>
        <w:t>H</w:t>
      </w:r>
      <w:r w:rsidR="004B5DBE">
        <w:rPr>
          <w:rFonts w:ascii="Arial" w:eastAsia="Calibri" w:hAnsi="Arial" w:cs="Arial"/>
          <w:lang w:val="en-ZA"/>
        </w:rPr>
        <w:t xml:space="preserve">ome </w:t>
      </w:r>
      <w:r w:rsidRPr="00540629">
        <w:rPr>
          <w:rFonts w:ascii="Arial" w:eastAsia="Calibri" w:hAnsi="Arial" w:cs="Arial"/>
          <w:lang w:val="en-ZA"/>
        </w:rPr>
        <w:t>A</w:t>
      </w:r>
      <w:r w:rsidR="004B5DBE">
        <w:rPr>
          <w:rFonts w:ascii="Arial" w:eastAsia="Calibri" w:hAnsi="Arial" w:cs="Arial"/>
          <w:lang w:val="en-ZA"/>
        </w:rPr>
        <w:t>ffairs</w:t>
      </w:r>
      <w:r w:rsidRPr="00540629">
        <w:rPr>
          <w:rFonts w:ascii="Arial" w:eastAsia="Calibri" w:hAnsi="Arial" w:cs="Arial"/>
          <w:lang w:val="en-ZA"/>
        </w:rPr>
        <w:t>, D</w:t>
      </w:r>
      <w:r w:rsidR="004B5DBE">
        <w:rPr>
          <w:rFonts w:ascii="Arial" w:eastAsia="Calibri" w:hAnsi="Arial" w:cs="Arial"/>
          <w:lang w:val="en-ZA"/>
        </w:rPr>
        <w:t xml:space="preserve">epartment of </w:t>
      </w:r>
      <w:r w:rsidRPr="00540629">
        <w:rPr>
          <w:rFonts w:ascii="Arial" w:eastAsia="Calibri" w:hAnsi="Arial" w:cs="Arial"/>
          <w:lang w:val="en-ZA"/>
        </w:rPr>
        <w:t>S</w:t>
      </w:r>
      <w:r w:rsidR="004B5DBE">
        <w:rPr>
          <w:rFonts w:ascii="Arial" w:eastAsia="Calibri" w:hAnsi="Arial" w:cs="Arial"/>
          <w:lang w:val="en-ZA"/>
        </w:rPr>
        <w:t xml:space="preserve">ocial </w:t>
      </w:r>
      <w:r w:rsidRPr="00540629">
        <w:rPr>
          <w:rFonts w:ascii="Arial" w:eastAsia="Calibri" w:hAnsi="Arial" w:cs="Arial"/>
          <w:lang w:val="en-ZA"/>
        </w:rPr>
        <w:t>D</w:t>
      </w:r>
      <w:r w:rsidR="004B5DBE">
        <w:rPr>
          <w:rFonts w:ascii="Arial" w:eastAsia="Calibri" w:hAnsi="Arial" w:cs="Arial"/>
          <w:lang w:val="en-ZA"/>
        </w:rPr>
        <w:t>evelopment</w:t>
      </w:r>
      <w:r w:rsidRPr="00540629">
        <w:rPr>
          <w:rFonts w:ascii="Arial" w:eastAsia="Calibri" w:hAnsi="Arial" w:cs="Arial"/>
          <w:lang w:val="en-ZA"/>
        </w:rPr>
        <w:t>, L</w:t>
      </w:r>
      <w:r w:rsidR="00F83AD6">
        <w:rPr>
          <w:rFonts w:ascii="Arial" w:eastAsia="Calibri" w:hAnsi="Arial" w:cs="Arial"/>
          <w:lang w:val="en-ZA"/>
        </w:rPr>
        <w:t>egal Aid S</w:t>
      </w:r>
      <w:r w:rsidR="004B5DBE">
        <w:rPr>
          <w:rFonts w:ascii="Arial" w:eastAsia="Calibri" w:hAnsi="Arial" w:cs="Arial"/>
          <w:lang w:val="en-ZA"/>
        </w:rPr>
        <w:t xml:space="preserve">outh </w:t>
      </w:r>
      <w:r w:rsidR="00F83AD6">
        <w:rPr>
          <w:rFonts w:ascii="Arial" w:eastAsia="Calibri" w:hAnsi="Arial" w:cs="Arial"/>
          <w:lang w:val="en-ZA"/>
        </w:rPr>
        <w:t>A</w:t>
      </w:r>
      <w:r w:rsidR="004B5DBE">
        <w:rPr>
          <w:rFonts w:ascii="Arial" w:eastAsia="Calibri" w:hAnsi="Arial" w:cs="Arial"/>
          <w:lang w:val="en-ZA"/>
        </w:rPr>
        <w:t>frica</w:t>
      </w:r>
      <w:r w:rsidR="00F83AD6">
        <w:rPr>
          <w:rFonts w:ascii="Arial" w:eastAsia="Calibri" w:hAnsi="Arial" w:cs="Arial"/>
          <w:lang w:val="en-ZA"/>
        </w:rPr>
        <w:t xml:space="preserve">, SASSA, and RTMC) </w:t>
      </w:r>
      <w:r w:rsidRPr="00540629">
        <w:rPr>
          <w:rFonts w:ascii="Arial" w:eastAsia="Calibri" w:hAnsi="Arial" w:cs="Arial"/>
          <w:lang w:val="en-ZA"/>
        </w:rPr>
        <w:t>are connected to the IJS hub and able to electronically exchange information.</w:t>
      </w:r>
      <w:r w:rsidR="00F83AD6">
        <w:rPr>
          <w:rFonts w:ascii="Arial" w:eastAsia="Calibri" w:hAnsi="Arial" w:cs="Arial"/>
          <w:lang w:val="en-ZA"/>
        </w:rPr>
        <w:t xml:space="preserve"> </w:t>
      </w:r>
      <w:r w:rsidRPr="00540629">
        <w:rPr>
          <w:rFonts w:ascii="Arial" w:eastAsia="Calibri" w:hAnsi="Arial" w:cs="Arial"/>
          <w:lang w:val="en-ZA"/>
        </w:rPr>
        <w:t>The Hub allows electronic information sharing to reduce administrative delays, enabling the various justice service providers to respond efficiently and p</w:t>
      </w:r>
      <w:r w:rsidR="00F83AD6">
        <w:rPr>
          <w:rFonts w:ascii="Arial" w:eastAsia="Calibri" w:hAnsi="Arial" w:cs="Arial"/>
          <w:lang w:val="en-ZA"/>
        </w:rPr>
        <w:t xml:space="preserve">rovide tools for the effective </w:t>
      </w:r>
      <w:r w:rsidRPr="00540629">
        <w:rPr>
          <w:rFonts w:ascii="Arial" w:eastAsia="Calibri" w:hAnsi="Arial" w:cs="Arial"/>
          <w:lang w:val="en-ZA"/>
        </w:rPr>
        <w:t xml:space="preserve">management and planning of the criminal justice system </w:t>
      </w:r>
    </w:p>
    <w:p w:rsidR="0040395E" w:rsidRPr="00540629" w:rsidRDefault="0040395E" w:rsidP="00540629">
      <w:pPr>
        <w:spacing w:line="360" w:lineRule="auto"/>
        <w:jc w:val="both"/>
        <w:rPr>
          <w:rFonts w:ascii="Arial" w:eastAsia="Calibri" w:hAnsi="Arial" w:cs="Arial"/>
          <w:lang w:val="en-ZA"/>
        </w:rPr>
      </w:pPr>
    </w:p>
    <w:p w:rsidR="0040395E" w:rsidRPr="00540629" w:rsidRDefault="0040395E" w:rsidP="00540629">
      <w:pPr>
        <w:spacing w:line="360" w:lineRule="auto"/>
        <w:jc w:val="both"/>
        <w:rPr>
          <w:rFonts w:ascii="Arial" w:eastAsia="Calibri" w:hAnsi="Arial" w:cs="Arial"/>
          <w:lang w:val="en-ZA"/>
        </w:rPr>
      </w:pPr>
      <w:r w:rsidRPr="00540629">
        <w:rPr>
          <w:rFonts w:ascii="Arial" w:eastAsia="Calibri" w:hAnsi="Arial" w:cs="Arial"/>
          <w:lang w:val="en-ZA"/>
        </w:rPr>
        <w:t>For the implementation of a fair and just system to be successful, efficient and effective, a cohesive integrated capability is required that considers the processes, policies, application systems and people across the CJS</w:t>
      </w:r>
    </w:p>
    <w:p w:rsidR="0040395E" w:rsidRPr="0040395E" w:rsidRDefault="0040395E" w:rsidP="00540629">
      <w:pPr>
        <w:spacing w:line="360" w:lineRule="auto"/>
        <w:jc w:val="both"/>
        <w:rPr>
          <w:rFonts w:ascii="Arial" w:eastAsia="Calibri" w:hAnsi="Arial" w:cs="Arial"/>
        </w:rPr>
      </w:pPr>
    </w:p>
    <w:p w:rsidR="0040395E" w:rsidRPr="0040395E" w:rsidRDefault="0040395E" w:rsidP="00540629">
      <w:pPr>
        <w:spacing w:line="360" w:lineRule="auto"/>
        <w:jc w:val="both"/>
        <w:rPr>
          <w:rFonts w:ascii="Arial" w:eastAsia="Calibri" w:hAnsi="Arial" w:cs="Arial"/>
          <w:b/>
          <w:bCs/>
          <w:u w:val="single"/>
        </w:rPr>
      </w:pPr>
      <w:r w:rsidRPr="0040395E">
        <w:rPr>
          <w:rFonts w:ascii="Arial" w:eastAsia="Calibri" w:hAnsi="Arial" w:cs="Arial"/>
          <w:b/>
          <w:bCs/>
          <w:u w:val="single"/>
        </w:rPr>
        <w:t>With regards to initial costing of IJS:</w:t>
      </w:r>
    </w:p>
    <w:p w:rsidR="0040395E" w:rsidRPr="0040395E" w:rsidRDefault="0040395E" w:rsidP="00540629">
      <w:pPr>
        <w:spacing w:line="360" w:lineRule="auto"/>
        <w:jc w:val="both"/>
        <w:rPr>
          <w:rFonts w:ascii="Arial" w:eastAsia="Calibri" w:hAnsi="Arial" w:cs="Arial"/>
        </w:rPr>
      </w:pPr>
      <w:r w:rsidRPr="0040395E">
        <w:rPr>
          <w:rFonts w:ascii="Arial" w:eastAsia="Calibri" w:hAnsi="Arial" w:cs="Arial"/>
        </w:rPr>
        <w:t xml:space="preserve">There is no initial costing of the IJS programme. When one looks at the nature of the </w:t>
      </w:r>
      <w:r w:rsidR="00F83AD6">
        <w:rPr>
          <w:rFonts w:ascii="Arial" w:eastAsia="Calibri" w:hAnsi="Arial" w:cs="Arial"/>
        </w:rPr>
        <w:t>p</w:t>
      </w:r>
      <w:r w:rsidRPr="0040395E">
        <w:rPr>
          <w:rFonts w:ascii="Arial" w:eastAsia="Calibri" w:hAnsi="Arial" w:cs="Arial"/>
        </w:rPr>
        <w:t xml:space="preserve">rogramme, it comprises of several initiatives from the eight </w:t>
      </w:r>
      <w:r w:rsidR="00F83AD6">
        <w:rPr>
          <w:rFonts w:ascii="Arial" w:eastAsia="Calibri" w:hAnsi="Arial" w:cs="Arial"/>
        </w:rPr>
        <w:t xml:space="preserve">(8) </w:t>
      </w:r>
      <w:r w:rsidRPr="0040395E">
        <w:rPr>
          <w:rFonts w:ascii="Arial" w:eastAsia="Calibri" w:hAnsi="Arial" w:cs="Arial"/>
        </w:rPr>
        <w:t>member departments forming part of the CJS. The annual programme costing is done by following a specific budgeting process which is repeated every financial year and it works as follows:</w:t>
      </w:r>
    </w:p>
    <w:p w:rsidR="0040395E" w:rsidRPr="0040395E" w:rsidRDefault="0040395E" w:rsidP="00540629">
      <w:pPr>
        <w:numPr>
          <w:ilvl w:val="0"/>
          <w:numId w:val="24"/>
        </w:numPr>
        <w:spacing w:line="360" w:lineRule="auto"/>
        <w:contextualSpacing/>
        <w:jc w:val="both"/>
        <w:rPr>
          <w:rFonts w:ascii="Arial" w:eastAsia="Calibri" w:hAnsi="Arial" w:cs="Arial"/>
        </w:rPr>
      </w:pPr>
      <w:r w:rsidRPr="0040395E">
        <w:rPr>
          <w:rFonts w:ascii="Arial" w:eastAsia="Calibri" w:hAnsi="Arial" w:cs="Arial"/>
        </w:rPr>
        <w:t xml:space="preserve">Each </w:t>
      </w:r>
      <w:r w:rsidR="004B5DBE">
        <w:rPr>
          <w:rFonts w:ascii="Arial" w:eastAsia="Calibri" w:hAnsi="Arial" w:cs="Arial"/>
        </w:rPr>
        <w:t>m</w:t>
      </w:r>
      <w:r w:rsidRPr="0040395E">
        <w:rPr>
          <w:rFonts w:ascii="Arial" w:eastAsia="Calibri" w:hAnsi="Arial" w:cs="Arial"/>
        </w:rPr>
        <w:t xml:space="preserve">ember </w:t>
      </w:r>
      <w:r w:rsidR="004B5DBE">
        <w:rPr>
          <w:rFonts w:ascii="Arial" w:eastAsia="Calibri" w:hAnsi="Arial" w:cs="Arial"/>
        </w:rPr>
        <w:t>d</w:t>
      </w:r>
      <w:r w:rsidRPr="0040395E">
        <w:rPr>
          <w:rFonts w:ascii="Arial" w:eastAsia="Calibri" w:hAnsi="Arial" w:cs="Arial"/>
        </w:rPr>
        <w:t>epartment submits a list of projects (Infrastructure modernization, application development etc.) that it plans to undertake in the following financial year</w:t>
      </w:r>
      <w:r w:rsidR="00F83AD6">
        <w:rPr>
          <w:rFonts w:ascii="Arial" w:eastAsia="Calibri" w:hAnsi="Arial" w:cs="Arial"/>
        </w:rPr>
        <w:t>.</w:t>
      </w:r>
    </w:p>
    <w:p w:rsidR="0040395E" w:rsidRPr="0040395E" w:rsidRDefault="0040395E" w:rsidP="00540629">
      <w:pPr>
        <w:numPr>
          <w:ilvl w:val="0"/>
          <w:numId w:val="24"/>
        </w:numPr>
        <w:spacing w:line="360" w:lineRule="auto"/>
        <w:contextualSpacing/>
        <w:jc w:val="both"/>
        <w:rPr>
          <w:rFonts w:ascii="Arial" w:eastAsia="Calibri" w:hAnsi="Arial" w:cs="Arial"/>
        </w:rPr>
      </w:pPr>
      <w:r w:rsidRPr="0040395E">
        <w:rPr>
          <w:rFonts w:ascii="Arial" w:eastAsia="Calibri" w:hAnsi="Arial" w:cs="Arial"/>
        </w:rPr>
        <w:t xml:space="preserve">IJS </w:t>
      </w:r>
      <w:r w:rsidR="00F83AD6">
        <w:rPr>
          <w:rFonts w:ascii="Arial" w:eastAsia="Calibri" w:hAnsi="Arial" w:cs="Arial"/>
        </w:rPr>
        <w:t>Project Management Office (</w:t>
      </w:r>
      <w:r w:rsidRPr="0040395E">
        <w:rPr>
          <w:rFonts w:ascii="Arial" w:eastAsia="Calibri" w:hAnsi="Arial" w:cs="Arial"/>
        </w:rPr>
        <w:t>PMO</w:t>
      </w:r>
      <w:r w:rsidR="00F83AD6">
        <w:rPr>
          <w:rFonts w:ascii="Arial" w:eastAsia="Calibri" w:hAnsi="Arial" w:cs="Arial"/>
        </w:rPr>
        <w:t>)</w:t>
      </w:r>
      <w:r w:rsidRPr="0040395E">
        <w:rPr>
          <w:rFonts w:ascii="Arial" w:eastAsia="Calibri" w:hAnsi="Arial" w:cs="Arial"/>
        </w:rPr>
        <w:t xml:space="preserve"> then analyses these projects to determine relevance and value add to the CJS. </w:t>
      </w:r>
    </w:p>
    <w:p w:rsidR="0040395E" w:rsidRPr="0040395E" w:rsidRDefault="0040395E" w:rsidP="00540629">
      <w:pPr>
        <w:numPr>
          <w:ilvl w:val="0"/>
          <w:numId w:val="24"/>
        </w:numPr>
        <w:spacing w:line="360" w:lineRule="auto"/>
        <w:contextualSpacing/>
        <w:jc w:val="both"/>
        <w:rPr>
          <w:rFonts w:ascii="Arial" w:eastAsia="Calibri" w:hAnsi="Arial" w:cs="Arial"/>
        </w:rPr>
      </w:pPr>
      <w:r w:rsidRPr="0040395E">
        <w:rPr>
          <w:rFonts w:ascii="Arial" w:eastAsia="Calibri" w:hAnsi="Arial" w:cs="Arial"/>
        </w:rPr>
        <w:t xml:space="preserve">IJS through IJS Implementation Committee and IJS </w:t>
      </w:r>
      <w:r w:rsidR="00F83AD6">
        <w:rPr>
          <w:rFonts w:ascii="Arial" w:eastAsia="Calibri" w:hAnsi="Arial" w:cs="Arial"/>
        </w:rPr>
        <w:t>B</w:t>
      </w:r>
      <w:r w:rsidRPr="0040395E">
        <w:rPr>
          <w:rFonts w:ascii="Arial" w:eastAsia="Calibri" w:hAnsi="Arial" w:cs="Arial"/>
        </w:rPr>
        <w:t>oard of D</w:t>
      </w:r>
      <w:r w:rsidR="00F83AD6">
        <w:rPr>
          <w:rFonts w:ascii="Arial" w:eastAsia="Calibri" w:hAnsi="Arial" w:cs="Arial"/>
        </w:rPr>
        <w:t>irectors-</w:t>
      </w:r>
      <w:r w:rsidRPr="0040395E">
        <w:rPr>
          <w:rFonts w:ascii="Arial" w:eastAsia="Calibri" w:hAnsi="Arial" w:cs="Arial"/>
        </w:rPr>
        <w:t>G</w:t>
      </w:r>
      <w:r w:rsidR="00F83AD6">
        <w:rPr>
          <w:rFonts w:ascii="Arial" w:eastAsia="Calibri" w:hAnsi="Arial" w:cs="Arial"/>
        </w:rPr>
        <w:t>eneral (DGs)</w:t>
      </w:r>
      <w:r w:rsidRPr="0040395E">
        <w:rPr>
          <w:rFonts w:ascii="Arial" w:eastAsia="Calibri" w:hAnsi="Arial" w:cs="Arial"/>
        </w:rPr>
        <w:t xml:space="preserve"> then approves or declines, and once approved, the list of projects is then sent to National treasury to obtain funding. Once funding is obtained, project execution is undertaken (refer to the New IJS Governance Framework).</w:t>
      </w:r>
    </w:p>
    <w:p w:rsidR="0040395E" w:rsidRPr="0040395E" w:rsidRDefault="0040395E" w:rsidP="00540629">
      <w:pPr>
        <w:spacing w:line="360" w:lineRule="auto"/>
        <w:jc w:val="both"/>
        <w:rPr>
          <w:rFonts w:ascii="Arial" w:eastAsia="Calibri" w:hAnsi="Arial" w:cs="Arial"/>
        </w:rPr>
      </w:pPr>
    </w:p>
    <w:p w:rsidR="0040395E" w:rsidRPr="0040395E" w:rsidRDefault="0040395E" w:rsidP="00540629">
      <w:pPr>
        <w:spacing w:line="360" w:lineRule="auto"/>
        <w:jc w:val="both"/>
        <w:rPr>
          <w:rFonts w:ascii="Arial" w:eastAsia="Calibri" w:hAnsi="Arial" w:cs="Arial"/>
          <w:b/>
          <w:bCs/>
          <w:u w:val="single"/>
        </w:rPr>
      </w:pPr>
      <w:r w:rsidRPr="0040395E">
        <w:rPr>
          <w:rFonts w:ascii="Arial" w:eastAsia="Calibri" w:hAnsi="Arial" w:cs="Arial"/>
          <w:b/>
          <w:bCs/>
          <w:u w:val="single"/>
        </w:rPr>
        <w:t>With regards to Completion date of the IJS Programme:</w:t>
      </w:r>
    </w:p>
    <w:p w:rsidR="0040395E" w:rsidRPr="0040395E" w:rsidRDefault="0040395E" w:rsidP="00540629">
      <w:pPr>
        <w:spacing w:line="360" w:lineRule="auto"/>
        <w:jc w:val="both"/>
        <w:rPr>
          <w:rFonts w:ascii="Arial" w:eastAsia="Calibri" w:hAnsi="Arial" w:cs="Arial"/>
        </w:rPr>
      </w:pPr>
      <w:r w:rsidRPr="0040395E">
        <w:rPr>
          <w:rFonts w:ascii="Arial" w:eastAsia="Calibri" w:hAnsi="Arial" w:cs="Arial"/>
        </w:rPr>
        <w:t xml:space="preserve">At this point in time, the IJS programme does not really have an end date due to the following: </w:t>
      </w:r>
    </w:p>
    <w:p w:rsidR="0040395E" w:rsidRPr="0040395E" w:rsidRDefault="0040395E" w:rsidP="00540629">
      <w:pPr>
        <w:numPr>
          <w:ilvl w:val="0"/>
          <w:numId w:val="25"/>
        </w:numPr>
        <w:spacing w:line="360" w:lineRule="auto"/>
        <w:contextualSpacing/>
        <w:jc w:val="both"/>
        <w:rPr>
          <w:rFonts w:ascii="Arial" w:eastAsia="Calibri" w:hAnsi="Arial" w:cs="Arial"/>
        </w:rPr>
      </w:pPr>
      <w:r w:rsidRPr="0040395E">
        <w:rPr>
          <w:rFonts w:ascii="Arial" w:eastAsia="Calibri" w:hAnsi="Arial" w:cs="Arial"/>
        </w:rPr>
        <w:t>Businesses evolve. As a results, business processes also must be reengineered, resulting in a need for applications/systems supporting these processes to be enhanced, in some cases, built from scratch.</w:t>
      </w:r>
    </w:p>
    <w:p w:rsidR="0040395E" w:rsidRPr="0040395E" w:rsidRDefault="0040395E" w:rsidP="00540629">
      <w:pPr>
        <w:numPr>
          <w:ilvl w:val="0"/>
          <w:numId w:val="25"/>
        </w:numPr>
        <w:spacing w:line="360" w:lineRule="auto"/>
        <w:contextualSpacing/>
        <w:jc w:val="both"/>
        <w:rPr>
          <w:rFonts w:ascii="Arial" w:eastAsia="Calibri" w:hAnsi="Arial" w:cs="Arial"/>
        </w:rPr>
      </w:pPr>
      <w:r w:rsidRPr="0040395E">
        <w:rPr>
          <w:rFonts w:ascii="Arial" w:eastAsia="Calibri" w:hAnsi="Arial" w:cs="Arial"/>
        </w:rPr>
        <w:t xml:space="preserve">Continuous Infrastructure Modernization is key to the IJS to ensure systems developed support key/core business processes and that they are used optimally. </w:t>
      </w:r>
    </w:p>
    <w:p w:rsidR="0040395E" w:rsidRDefault="0040395E" w:rsidP="00540629">
      <w:pPr>
        <w:numPr>
          <w:ilvl w:val="0"/>
          <w:numId w:val="25"/>
        </w:numPr>
        <w:spacing w:line="360" w:lineRule="auto"/>
        <w:contextualSpacing/>
        <w:jc w:val="both"/>
        <w:rPr>
          <w:rFonts w:ascii="Arial" w:eastAsia="Calibri" w:hAnsi="Arial" w:cs="Arial"/>
        </w:rPr>
      </w:pPr>
      <w:r w:rsidRPr="0040395E">
        <w:rPr>
          <w:rFonts w:ascii="Arial" w:eastAsia="Calibri" w:hAnsi="Arial" w:cs="Arial"/>
        </w:rPr>
        <w:t xml:space="preserve">Enhancement and maintenance of current case management systems and development of new </w:t>
      </w:r>
      <w:r w:rsidR="004B5DBE" w:rsidRPr="0040395E">
        <w:rPr>
          <w:rFonts w:ascii="Arial" w:eastAsia="Calibri" w:hAnsi="Arial" w:cs="Arial"/>
        </w:rPr>
        <w:t>persons’</w:t>
      </w:r>
      <w:r w:rsidRPr="0040395E">
        <w:rPr>
          <w:rFonts w:ascii="Arial" w:eastAsia="Calibri" w:hAnsi="Arial" w:cs="Arial"/>
        </w:rPr>
        <w:t xml:space="preserve"> management system in line with the 4IR stack remains a continuous priority.</w:t>
      </w:r>
    </w:p>
    <w:p w:rsidR="00235912" w:rsidRPr="0040395E" w:rsidRDefault="00235912" w:rsidP="00540629">
      <w:pPr>
        <w:spacing w:line="360" w:lineRule="auto"/>
        <w:ind w:left="720"/>
        <w:contextualSpacing/>
        <w:jc w:val="both"/>
        <w:rPr>
          <w:rFonts w:ascii="Arial" w:eastAsia="Calibri" w:hAnsi="Arial" w:cs="Arial"/>
        </w:rPr>
      </w:pPr>
    </w:p>
    <w:p w:rsidR="0040395E" w:rsidRPr="0040395E" w:rsidRDefault="0040395E" w:rsidP="00540629">
      <w:pPr>
        <w:spacing w:line="360" w:lineRule="auto"/>
        <w:jc w:val="both"/>
        <w:rPr>
          <w:rFonts w:ascii="Arial" w:eastAsia="Calibri" w:hAnsi="Arial" w:cs="Arial"/>
          <w:b/>
          <w:bCs/>
          <w:u w:val="single"/>
        </w:rPr>
      </w:pPr>
      <w:r w:rsidRPr="0040395E">
        <w:rPr>
          <w:rFonts w:ascii="Arial" w:eastAsia="Calibri" w:hAnsi="Arial" w:cs="Arial"/>
          <w:b/>
          <w:bCs/>
          <w:u w:val="single"/>
        </w:rPr>
        <w:t>On what date is the IJS envisaged to be rolled out to all courts in the republic:</w:t>
      </w:r>
    </w:p>
    <w:p w:rsidR="0040395E" w:rsidRPr="0040395E" w:rsidRDefault="0040395E" w:rsidP="00540629">
      <w:pPr>
        <w:spacing w:line="360" w:lineRule="auto"/>
        <w:jc w:val="both"/>
        <w:rPr>
          <w:rFonts w:ascii="Arial" w:eastAsia="Calibri" w:hAnsi="Arial" w:cs="Arial"/>
          <w:lang w:val="en-ZA"/>
        </w:rPr>
      </w:pPr>
      <w:r w:rsidRPr="0040395E">
        <w:rPr>
          <w:rFonts w:ascii="Arial" w:eastAsia="Calibri" w:hAnsi="Arial" w:cs="Arial"/>
        </w:rPr>
        <w:t xml:space="preserve">It should be noted that the IJS is a programme comprising of multiple projects from eight member departments. </w:t>
      </w:r>
      <w:r w:rsidRPr="0040395E">
        <w:rPr>
          <w:rFonts w:ascii="Arial" w:eastAsia="Calibri" w:hAnsi="Arial" w:cs="Arial"/>
          <w:lang w:val="en-ZA"/>
        </w:rPr>
        <w:t>To date, case management business applications have been developed and implemented for almost all eight member departments (including DoJ&amp;CD) with exception of the OCJ which is currently piloting its Court Online application in the Johannesburg and Pretoria Hi</w:t>
      </w:r>
      <w:r w:rsidR="004B5DBE">
        <w:rPr>
          <w:rFonts w:ascii="Arial" w:eastAsia="Calibri" w:hAnsi="Arial" w:cs="Arial"/>
          <w:lang w:val="en-ZA"/>
        </w:rPr>
        <w:t>gh Courts, national roll out is</w:t>
      </w:r>
      <w:r w:rsidRPr="0040395E">
        <w:rPr>
          <w:rFonts w:ascii="Arial" w:eastAsia="Calibri" w:hAnsi="Arial" w:cs="Arial"/>
          <w:lang w:val="en-ZA"/>
        </w:rPr>
        <w:t xml:space="preserve"> planned for the current financial year.</w:t>
      </w:r>
    </w:p>
    <w:p w:rsidR="0040395E" w:rsidRPr="0040395E" w:rsidRDefault="0040395E" w:rsidP="00540629">
      <w:pPr>
        <w:spacing w:line="360" w:lineRule="auto"/>
        <w:jc w:val="both"/>
        <w:rPr>
          <w:rFonts w:ascii="Arial" w:eastAsia="Calibri" w:hAnsi="Arial" w:cs="Arial"/>
          <w:lang w:val="en-ZA"/>
        </w:rPr>
      </w:pPr>
    </w:p>
    <w:p w:rsidR="0040395E" w:rsidRPr="0040395E" w:rsidRDefault="0040395E" w:rsidP="00540629">
      <w:pPr>
        <w:spacing w:line="360" w:lineRule="auto"/>
        <w:jc w:val="both"/>
        <w:rPr>
          <w:rFonts w:ascii="Arial" w:eastAsia="Calibri" w:hAnsi="Arial" w:cs="Arial"/>
          <w:b/>
          <w:bCs/>
          <w:u w:val="single"/>
          <w:lang w:val="en-ZA"/>
        </w:rPr>
      </w:pPr>
      <w:r w:rsidRPr="0040395E">
        <w:rPr>
          <w:rFonts w:ascii="Arial" w:eastAsia="Calibri" w:hAnsi="Arial" w:cs="Arial"/>
          <w:b/>
          <w:bCs/>
          <w:u w:val="single"/>
          <w:lang w:val="en-ZA"/>
        </w:rPr>
        <w:t>Some IJS key in</w:t>
      </w:r>
      <w:r w:rsidR="004B5DBE">
        <w:rPr>
          <w:rFonts w:ascii="Arial" w:eastAsia="Calibri" w:hAnsi="Arial" w:cs="Arial"/>
          <w:b/>
          <w:bCs/>
          <w:u w:val="single"/>
          <w:lang w:val="en-ZA"/>
        </w:rPr>
        <w:t xml:space="preserve">itiatives that have been rolled </w:t>
      </w:r>
      <w:r w:rsidRPr="0040395E">
        <w:rPr>
          <w:rFonts w:ascii="Arial" w:eastAsia="Calibri" w:hAnsi="Arial" w:cs="Arial"/>
          <w:b/>
          <w:bCs/>
          <w:u w:val="single"/>
          <w:lang w:val="en-ZA"/>
        </w:rPr>
        <w:t>out to courts in the republic include:</w:t>
      </w:r>
    </w:p>
    <w:p w:rsidR="0040395E" w:rsidRPr="0040395E" w:rsidRDefault="0040395E" w:rsidP="00540629">
      <w:pPr>
        <w:spacing w:line="360" w:lineRule="auto"/>
        <w:jc w:val="both"/>
        <w:rPr>
          <w:rFonts w:ascii="Arial" w:eastAsia="Calibri" w:hAnsi="Arial" w:cs="Arial"/>
          <w:noProof/>
        </w:rPr>
      </w:pPr>
      <w:r w:rsidRPr="0040395E">
        <w:rPr>
          <w:rFonts w:ascii="Arial" w:eastAsia="Calibri" w:hAnsi="Arial" w:cs="Arial"/>
          <w:noProof/>
        </w:rPr>
        <w:t>A strategic IJS modernisation project which seeks to transform the management, handling and sharing of records. The Office of the Chief Justice (OCJ) Court Online System provides a platform for law firms and litigants to file documents to the courts electronically, via the Internet. Modernisation of traditionally paper-intensive manual processes realises significant efficiency benefits. Beyond minimising the physical movement of people and paper court documents from parties to the Courts, it also leverages the benefits of electronic storage including faster document filing and retrieval, eradication of the misplacement of case files, and allows concurrent access to view the same case file by different parties.</w:t>
      </w:r>
    </w:p>
    <w:p w:rsidR="0040395E" w:rsidRPr="0040395E" w:rsidRDefault="0040395E" w:rsidP="00540629">
      <w:pPr>
        <w:spacing w:line="360" w:lineRule="auto"/>
        <w:jc w:val="both"/>
        <w:rPr>
          <w:rFonts w:ascii="Arial" w:eastAsia="Calibri" w:hAnsi="Arial" w:cs="Arial"/>
          <w:noProof/>
        </w:rPr>
      </w:pPr>
    </w:p>
    <w:p w:rsidR="0040395E" w:rsidRPr="0040395E" w:rsidRDefault="0040395E" w:rsidP="00540629">
      <w:pPr>
        <w:spacing w:line="360" w:lineRule="auto"/>
        <w:jc w:val="both"/>
        <w:rPr>
          <w:rFonts w:ascii="Arial" w:eastAsia="Calibri" w:hAnsi="Arial" w:cs="Arial"/>
          <w:lang w:val="en-ZA"/>
        </w:rPr>
      </w:pPr>
      <w:r w:rsidRPr="0040395E">
        <w:rPr>
          <w:rFonts w:ascii="Arial" w:eastAsia="Calibri" w:hAnsi="Arial" w:cs="Arial"/>
          <w:lang w:val="en-ZA"/>
        </w:rPr>
        <w:t xml:space="preserve">The first component of the solution enabled the digitalization of evidence in the court. This enables a fully digital version of the case bundle (including all filed court documents) to be made available electronically to all the relevant parties. </w:t>
      </w:r>
    </w:p>
    <w:p w:rsidR="004B5DBE" w:rsidRDefault="004B5DBE" w:rsidP="00540629">
      <w:pPr>
        <w:spacing w:line="360" w:lineRule="auto"/>
        <w:jc w:val="both"/>
        <w:rPr>
          <w:rFonts w:ascii="Arial" w:eastAsia="Calibri" w:hAnsi="Arial" w:cs="Arial"/>
          <w:lang w:val="en-ZA"/>
        </w:rPr>
      </w:pPr>
    </w:p>
    <w:p w:rsidR="0040395E" w:rsidRDefault="0040395E" w:rsidP="00540629">
      <w:pPr>
        <w:spacing w:line="360" w:lineRule="auto"/>
        <w:jc w:val="both"/>
        <w:rPr>
          <w:rFonts w:ascii="Arial" w:eastAsia="Calibri" w:hAnsi="Arial" w:cs="Arial"/>
          <w:lang w:val="en-ZA"/>
        </w:rPr>
      </w:pPr>
      <w:r w:rsidRPr="0040395E">
        <w:rPr>
          <w:rFonts w:ascii="Arial" w:eastAsia="Calibri" w:hAnsi="Arial" w:cs="Arial"/>
          <w:lang w:val="en-ZA"/>
        </w:rPr>
        <w:t>On 18 July 2019, a key milestone was reached through the undertaking of the first fully paperless case trial simulation. All parties in court were able to use their own laptops and/or mobile tablets (iPads) to access and refer to digital versions of case materials. The solution enables each party to record notes and annotations, highlight and redact content as needed, and choose whether notes and annotations be shared, or kept private.</w:t>
      </w:r>
    </w:p>
    <w:p w:rsidR="00540629" w:rsidRPr="0040395E" w:rsidRDefault="00540629" w:rsidP="00540629">
      <w:pPr>
        <w:spacing w:line="360" w:lineRule="auto"/>
        <w:jc w:val="both"/>
        <w:rPr>
          <w:rFonts w:ascii="Arial" w:eastAsia="Calibri" w:hAnsi="Arial" w:cs="Arial"/>
          <w:lang w:val="en-ZA"/>
        </w:rPr>
      </w:pPr>
    </w:p>
    <w:p w:rsidR="0040395E" w:rsidRPr="0040395E" w:rsidRDefault="0040395E" w:rsidP="00540629">
      <w:pPr>
        <w:spacing w:line="360" w:lineRule="auto"/>
        <w:contextualSpacing/>
        <w:jc w:val="both"/>
        <w:rPr>
          <w:rFonts w:ascii="Arial" w:eastAsia="Calibri" w:hAnsi="Arial" w:cs="Arial"/>
          <w:lang w:val="en-ZA"/>
        </w:rPr>
      </w:pPr>
      <w:r w:rsidRPr="0040395E">
        <w:rPr>
          <w:rFonts w:ascii="Arial" w:eastAsia="Calibri" w:hAnsi="Arial" w:cs="Arial"/>
          <w:lang w:val="en-ZA"/>
        </w:rPr>
        <w:t>The digital case bundle pilot at Johannesburg High Court and Pretoria High Court was completed successfully and the digital case bundle has been operationa</w:t>
      </w:r>
      <w:r w:rsidR="00540629">
        <w:rPr>
          <w:rFonts w:ascii="Arial" w:eastAsia="Calibri" w:hAnsi="Arial" w:cs="Arial"/>
          <w:lang w:val="en-ZA"/>
        </w:rPr>
        <w:t>lised (rolled out to production</w:t>
      </w:r>
      <w:r w:rsidRPr="0040395E">
        <w:rPr>
          <w:rFonts w:ascii="Arial" w:eastAsia="Calibri" w:hAnsi="Arial" w:cs="Arial"/>
          <w:lang w:val="en-ZA"/>
        </w:rPr>
        <w:t>) at both these two sites. The project has established a centralised Court Online helpdesk to provide support to both internal stakeholders (judges and court officials) and external stakeholders (legal practi</w:t>
      </w:r>
      <w:r w:rsidR="004B5DBE">
        <w:rPr>
          <w:rFonts w:ascii="Arial" w:eastAsia="Calibri" w:hAnsi="Arial" w:cs="Arial"/>
          <w:lang w:val="en-ZA"/>
        </w:rPr>
        <w:t>ti</w:t>
      </w:r>
      <w:r w:rsidRPr="0040395E">
        <w:rPr>
          <w:rFonts w:ascii="Arial" w:eastAsia="Calibri" w:hAnsi="Arial" w:cs="Arial"/>
          <w:lang w:val="en-ZA"/>
        </w:rPr>
        <w:t>oners).</w:t>
      </w:r>
    </w:p>
    <w:p w:rsidR="004B5DBE" w:rsidRDefault="004B5DBE" w:rsidP="00540629">
      <w:pPr>
        <w:spacing w:line="360" w:lineRule="auto"/>
        <w:jc w:val="both"/>
        <w:rPr>
          <w:rFonts w:ascii="Arial" w:eastAsia="Calibri" w:hAnsi="Arial" w:cs="Arial"/>
          <w:lang w:val="en-ZA"/>
        </w:rPr>
      </w:pPr>
    </w:p>
    <w:p w:rsidR="0040395E" w:rsidRPr="0040395E" w:rsidRDefault="004B5DBE" w:rsidP="00540629">
      <w:pPr>
        <w:spacing w:line="360" w:lineRule="auto"/>
        <w:jc w:val="both"/>
        <w:rPr>
          <w:rFonts w:ascii="Arial" w:eastAsia="Calibri" w:hAnsi="Arial" w:cs="Arial"/>
          <w:color w:val="FF0000"/>
          <w:lang w:val="en-ZA"/>
        </w:rPr>
      </w:pPr>
      <w:r>
        <w:rPr>
          <w:rFonts w:ascii="Arial" w:eastAsia="Calibri" w:hAnsi="Arial" w:cs="Arial"/>
          <w:lang w:val="en-ZA"/>
        </w:rPr>
        <w:t>Recently, t</w:t>
      </w:r>
      <w:r w:rsidR="0040395E" w:rsidRPr="0040395E">
        <w:rPr>
          <w:rFonts w:ascii="Arial" w:eastAsia="Calibri" w:hAnsi="Arial" w:cs="Arial"/>
          <w:lang w:val="en-ZA"/>
        </w:rPr>
        <w:t>he IJS and OCJ completed development for the second component which is the main engine (CRM dynamics) was completed successfully in 2021/22 financial year. Pilot for the end-to-end court online solution commenced in March 2022 in Johannesburg High Court, thereafter it was extended to the Pretoria High Court.  National roll</w:t>
      </w:r>
      <w:r>
        <w:rPr>
          <w:rFonts w:ascii="Arial" w:eastAsia="Calibri" w:hAnsi="Arial" w:cs="Arial"/>
          <w:lang w:val="en-ZA"/>
        </w:rPr>
        <w:t>-</w:t>
      </w:r>
      <w:r w:rsidR="0040395E" w:rsidRPr="0040395E">
        <w:rPr>
          <w:rFonts w:ascii="Arial" w:eastAsia="Calibri" w:hAnsi="Arial" w:cs="Arial"/>
          <w:lang w:val="en-ZA"/>
        </w:rPr>
        <w:t xml:space="preserve">out is planned for quarter 3 of 2022/23 financial year. </w:t>
      </w:r>
    </w:p>
    <w:p w:rsidR="00540629" w:rsidRDefault="00540629" w:rsidP="00540629">
      <w:pPr>
        <w:spacing w:line="360" w:lineRule="auto"/>
        <w:contextualSpacing/>
        <w:jc w:val="both"/>
        <w:rPr>
          <w:rFonts w:ascii="Arial" w:eastAsia="Calibri" w:hAnsi="Arial" w:cs="Arial"/>
          <w:lang w:val="en-ZA"/>
        </w:rPr>
      </w:pPr>
    </w:p>
    <w:p w:rsidR="0040395E" w:rsidRDefault="0040395E" w:rsidP="00540629">
      <w:pPr>
        <w:spacing w:line="360" w:lineRule="auto"/>
        <w:contextualSpacing/>
        <w:jc w:val="both"/>
        <w:rPr>
          <w:rFonts w:ascii="Arial" w:eastAsia="Calibri" w:hAnsi="Arial" w:cs="Arial"/>
          <w:lang w:val="en-ZA"/>
        </w:rPr>
      </w:pPr>
      <w:r w:rsidRPr="0040395E">
        <w:rPr>
          <w:rFonts w:ascii="Arial" w:eastAsia="Calibri" w:hAnsi="Arial" w:cs="Arial"/>
          <w:lang w:val="en-ZA"/>
        </w:rPr>
        <w:t>The IJS and OCJ has also rolled out critical infrastructure on all high courts national in preparation for the Court online rollout. This included Servers, Network Switches, Wi-Fi Upgrade, Provisioning of the Uninterrupted Power Supply (UPS) for Server and Patc</w:t>
      </w:r>
      <w:r w:rsidR="00540629">
        <w:rPr>
          <w:rFonts w:ascii="Arial" w:eastAsia="Calibri" w:hAnsi="Arial" w:cs="Arial"/>
          <w:lang w:val="en-ZA"/>
        </w:rPr>
        <w:t xml:space="preserve">h Rooms for all Service Points, </w:t>
      </w:r>
      <w:r w:rsidRPr="0040395E">
        <w:rPr>
          <w:rFonts w:ascii="Arial" w:eastAsia="Calibri" w:hAnsi="Arial" w:cs="Arial"/>
          <w:lang w:val="en-ZA"/>
        </w:rPr>
        <w:t>etc.</w:t>
      </w:r>
    </w:p>
    <w:p w:rsidR="0040395E" w:rsidRPr="0040395E" w:rsidRDefault="0040395E" w:rsidP="00540629">
      <w:pPr>
        <w:spacing w:line="360" w:lineRule="auto"/>
        <w:contextualSpacing/>
        <w:jc w:val="both"/>
        <w:rPr>
          <w:rFonts w:ascii="Arial" w:eastAsia="Calibri" w:hAnsi="Arial" w:cs="Arial"/>
          <w:lang w:val="en-ZA"/>
        </w:rPr>
      </w:pPr>
    </w:p>
    <w:p w:rsidR="0040395E" w:rsidRPr="0040395E" w:rsidRDefault="0040395E" w:rsidP="00540629">
      <w:pPr>
        <w:spacing w:line="360" w:lineRule="auto"/>
        <w:jc w:val="both"/>
        <w:rPr>
          <w:rFonts w:ascii="Arial" w:eastAsia="Calibri" w:hAnsi="Arial" w:cs="Arial"/>
          <w:lang w:val="en-ZA"/>
        </w:rPr>
      </w:pPr>
      <w:r w:rsidRPr="0040395E">
        <w:rPr>
          <w:rFonts w:ascii="Arial" w:eastAsia="Calibri" w:hAnsi="Arial" w:cs="Arial"/>
          <w:bCs/>
          <w:lang w:val="en-ZA"/>
        </w:rPr>
        <w:t>Court Audio Visual Solution for Case Participants</w:t>
      </w:r>
      <w:r w:rsidRPr="0040395E">
        <w:rPr>
          <w:rFonts w:ascii="Arial" w:eastAsia="Calibri" w:hAnsi="Arial" w:cs="Arial"/>
          <w:bCs/>
          <w:color w:val="538135"/>
          <w:lang w:val="en-ZA"/>
        </w:rPr>
        <w:t>:</w:t>
      </w:r>
      <w:r w:rsidRPr="0040395E">
        <w:rPr>
          <w:rFonts w:ascii="Arial" w:eastAsia="Calibri" w:hAnsi="Arial" w:cs="Arial"/>
          <w:b/>
          <w:color w:val="538135"/>
          <w:lang w:val="en-ZA"/>
        </w:rPr>
        <w:t xml:space="preserve"> </w:t>
      </w:r>
      <w:r w:rsidRPr="0040395E">
        <w:rPr>
          <w:rFonts w:ascii="Arial" w:eastAsia="Calibri" w:hAnsi="Arial" w:cs="Arial"/>
          <w:lang w:val="en-ZA"/>
        </w:rPr>
        <w:t>This is a court audio visual solu</w:t>
      </w:r>
      <w:r w:rsidR="004B5DBE">
        <w:rPr>
          <w:rFonts w:ascii="Arial" w:eastAsia="Calibri" w:hAnsi="Arial" w:cs="Arial"/>
          <w:lang w:val="en-ZA"/>
        </w:rPr>
        <w:t>tion that is used for witnesses</w:t>
      </w:r>
      <w:r w:rsidRPr="0040395E">
        <w:rPr>
          <w:rFonts w:ascii="Arial" w:eastAsia="Calibri" w:hAnsi="Arial" w:cs="Arial"/>
          <w:lang w:val="en-ZA"/>
        </w:rPr>
        <w:t>/victims</w:t>
      </w:r>
      <w:r w:rsidR="004B5DBE">
        <w:rPr>
          <w:rFonts w:ascii="Arial" w:eastAsia="Calibri" w:hAnsi="Arial" w:cs="Arial"/>
          <w:lang w:val="en-ZA"/>
        </w:rPr>
        <w:t>’</w:t>
      </w:r>
      <w:r w:rsidRPr="0040395E">
        <w:rPr>
          <w:rFonts w:ascii="Arial" w:eastAsia="Calibri" w:hAnsi="Arial" w:cs="Arial"/>
          <w:lang w:val="en-ZA"/>
        </w:rPr>
        <w:t xml:space="preserve"> interview and testimony in cases where direct contact is not feasible or very expensive, as well as in cases where expert witnesses are required in court. This also allows victims and witnesses to easily get in touch and communicate with the CJS practitioners that are responsible for their case. This is related specifically to virtual court appearances integrating to court recording solution for the court record.  In the last financial year, IJS completed the national roll</w:t>
      </w:r>
      <w:r w:rsidR="004B5DBE">
        <w:rPr>
          <w:rFonts w:ascii="Arial" w:eastAsia="Calibri" w:hAnsi="Arial" w:cs="Arial"/>
          <w:lang w:val="en-ZA"/>
        </w:rPr>
        <w:t>-</w:t>
      </w:r>
      <w:r w:rsidRPr="0040395E">
        <w:rPr>
          <w:rFonts w:ascii="Arial" w:eastAsia="Calibri" w:hAnsi="Arial" w:cs="Arial"/>
          <w:lang w:val="en-ZA"/>
        </w:rPr>
        <w:t xml:space="preserve">out to </w:t>
      </w:r>
      <w:r w:rsidR="004B5DBE">
        <w:rPr>
          <w:rFonts w:ascii="Arial" w:eastAsia="Calibri" w:hAnsi="Arial" w:cs="Arial"/>
          <w:lang w:val="en-ZA"/>
        </w:rPr>
        <w:t>eighteen (</w:t>
      </w:r>
      <w:r w:rsidRPr="0040395E">
        <w:rPr>
          <w:rFonts w:ascii="Arial" w:eastAsia="Calibri" w:hAnsi="Arial" w:cs="Arial"/>
          <w:lang w:val="en-ZA"/>
        </w:rPr>
        <w:t>18</w:t>
      </w:r>
      <w:r w:rsidR="004B5DBE">
        <w:rPr>
          <w:rFonts w:ascii="Arial" w:eastAsia="Calibri" w:hAnsi="Arial" w:cs="Arial"/>
          <w:lang w:val="en-ZA"/>
        </w:rPr>
        <w:t>)</w:t>
      </w:r>
      <w:r w:rsidRPr="0040395E">
        <w:rPr>
          <w:rFonts w:ascii="Arial" w:eastAsia="Calibri" w:hAnsi="Arial" w:cs="Arial"/>
          <w:lang w:val="en-ZA"/>
        </w:rPr>
        <w:t xml:space="preserve"> sites. </w:t>
      </w:r>
    </w:p>
    <w:p w:rsidR="0040395E" w:rsidRPr="0040395E" w:rsidRDefault="0040395E" w:rsidP="00540629">
      <w:pPr>
        <w:spacing w:line="360" w:lineRule="auto"/>
        <w:jc w:val="both"/>
        <w:rPr>
          <w:rFonts w:ascii="Arial" w:eastAsia="Calibri" w:hAnsi="Arial" w:cs="Arial"/>
          <w:lang w:val="en-ZA"/>
        </w:rPr>
      </w:pPr>
    </w:p>
    <w:p w:rsidR="0040395E" w:rsidRPr="0040395E" w:rsidRDefault="0040395E" w:rsidP="00540629">
      <w:pPr>
        <w:spacing w:line="360" w:lineRule="auto"/>
        <w:jc w:val="both"/>
        <w:rPr>
          <w:rFonts w:ascii="Arial" w:eastAsia="Calibri" w:hAnsi="Arial" w:cs="Arial"/>
          <w:lang w:val="en-ZA"/>
        </w:rPr>
      </w:pPr>
      <w:r w:rsidRPr="0040395E">
        <w:rPr>
          <w:rFonts w:ascii="Arial" w:eastAsia="Calibri" w:hAnsi="Arial" w:cs="Arial"/>
          <w:lang w:val="en-ZA"/>
        </w:rPr>
        <w:t>In July 2017</w:t>
      </w:r>
      <w:r w:rsidR="004B5DBE">
        <w:rPr>
          <w:rFonts w:ascii="Arial" w:eastAsia="Calibri" w:hAnsi="Arial" w:cs="Arial"/>
          <w:lang w:val="en-ZA"/>
        </w:rPr>
        <w:t>,</w:t>
      </w:r>
      <w:r w:rsidRPr="0040395E">
        <w:rPr>
          <w:rFonts w:ascii="Arial" w:eastAsia="Calibri" w:hAnsi="Arial" w:cs="Arial"/>
          <w:lang w:val="en-ZA"/>
        </w:rPr>
        <w:t xml:space="preserve"> the Department of Justice &amp; Constitutional Development </w:t>
      </w:r>
      <w:r w:rsidR="004B5DBE">
        <w:rPr>
          <w:rFonts w:ascii="Arial" w:eastAsia="Calibri" w:hAnsi="Arial" w:cs="Arial"/>
          <w:lang w:val="en-ZA"/>
        </w:rPr>
        <w:t xml:space="preserve">(DoJ&amp;CD) </w:t>
      </w:r>
      <w:r w:rsidRPr="0040395E">
        <w:rPr>
          <w:rFonts w:ascii="Arial" w:eastAsia="Calibri" w:hAnsi="Arial" w:cs="Arial"/>
          <w:lang w:val="en-ZA"/>
        </w:rPr>
        <w:t xml:space="preserve">completed development, testing and implementation of the enhancements to its Integrated Case Management System (ICMS) to enable the electronic generation </w:t>
      </w:r>
      <w:r w:rsidR="004B5DBE">
        <w:rPr>
          <w:rFonts w:ascii="Arial" w:eastAsia="Calibri" w:hAnsi="Arial" w:cs="Arial"/>
          <w:lang w:val="en-ZA"/>
        </w:rPr>
        <w:t xml:space="preserve">of the J7 Warrant of Detention. </w:t>
      </w:r>
      <w:r w:rsidRPr="0040395E">
        <w:rPr>
          <w:rFonts w:ascii="Arial" w:eastAsia="Calibri" w:hAnsi="Arial" w:cs="Arial"/>
          <w:lang w:val="en-ZA"/>
        </w:rPr>
        <w:t xml:space="preserve">This has been successfully deployed to production and </w:t>
      </w:r>
      <w:r w:rsidR="004B5DBE">
        <w:rPr>
          <w:rFonts w:ascii="Arial" w:eastAsia="Calibri" w:hAnsi="Arial" w:cs="Arial"/>
          <w:lang w:val="en-ZA"/>
        </w:rPr>
        <w:t xml:space="preserve">is currently active nationally. </w:t>
      </w:r>
      <w:r w:rsidRPr="0040395E">
        <w:rPr>
          <w:rFonts w:ascii="Arial" w:eastAsia="Calibri" w:hAnsi="Arial" w:cs="Arial"/>
          <w:lang w:val="en-ZA"/>
        </w:rPr>
        <w:t>It should be noted that the paper based J7 will not be eliminated until the mechanism for digital signature is established and this is in the pipeline, already the electronic exch</w:t>
      </w:r>
      <w:r w:rsidR="004B5DBE">
        <w:rPr>
          <w:rFonts w:ascii="Arial" w:eastAsia="Calibri" w:hAnsi="Arial" w:cs="Arial"/>
          <w:lang w:val="en-ZA"/>
        </w:rPr>
        <w:t>ange of this information from Do</w:t>
      </w:r>
      <w:r w:rsidRPr="0040395E">
        <w:rPr>
          <w:rFonts w:ascii="Arial" w:eastAsia="Calibri" w:hAnsi="Arial" w:cs="Arial"/>
          <w:lang w:val="en-ZA"/>
        </w:rPr>
        <w:t>J</w:t>
      </w:r>
      <w:r w:rsidR="004B5DBE">
        <w:rPr>
          <w:rFonts w:ascii="Arial" w:eastAsia="Calibri" w:hAnsi="Arial" w:cs="Arial"/>
          <w:lang w:val="en-ZA"/>
        </w:rPr>
        <w:t>&amp;</w:t>
      </w:r>
      <w:r w:rsidRPr="0040395E">
        <w:rPr>
          <w:rFonts w:ascii="Arial" w:eastAsia="Calibri" w:hAnsi="Arial" w:cs="Arial"/>
          <w:lang w:val="en-ZA"/>
        </w:rPr>
        <w:t>CD to DCS introduces efficiencies by eliminating the need for DCS to recapture information during the admission &amp; receipt process.</w:t>
      </w:r>
    </w:p>
    <w:p w:rsidR="0040395E" w:rsidRPr="0040395E" w:rsidRDefault="0040395E" w:rsidP="00540629">
      <w:pPr>
        <w:spacing w:line="360" w:lineRule="auto"/>
        <w:jc w:val="both"/>
        <w:rPr>
          <w:rFonts w:ascii="Arial" w:eastAsia="Calibri" w:hAnsi="Arial" w:cs="Arial"/>
          <w:lang w:val="en-ZA"/>
        </w:rPr>
      </w:pPr>
    </w:p>
    <w:p w:rsidR="0040395E" w:rsidRPr="0040395E" w:rsidRDefault="0040395E" w:rsidP="00540629">
      <w:pPr>
        <w:spacing w:line="360" w:lineRule="auto"/>
        <w:jc w:val="both"/>
        <w:rPr>
          <w:rFonts w:ascii="Arial" w:eastAsia="Calibri" w:hAnsi="Arial" w:cs="Arial"/>
          <w:lang w:val="en-ZA"/>
        </w:rPr>
      </w:pPr>
      <w:r w:rsidRPr="0040395E">
        <w:rPr>
          <w:rFonts w:ascii="Arial" w:eastAsia="Calibri" w:hAnsi="Arial" w:cs="Arial"/>
          <w:lang w:val="en-ZA"/>
        </w:rPr>
        <w:t xml:space="preserve">As part of its quest to modernise the CJS infrastructure so as to minimise downtime and lay the foundation for a fully digitised criminal justice system, IJS recently invested in the DoJ&amp;CD data centre upgrade project. This will ensure </w:t>
      </w:r>
      <w:r w:rsidR="00A5615C">
        <w:rPr>
          <w:rFonts w:ascii="Arial" w:eastAsia="Calibri" w:hAnsi="Arial" w:cs="Arial"/>
          <w:lang w:val="en-ZA"/>
        </w:rPr>
        <w:t xml:space="preserve">that </w:t>
      </w:r>
      <w:r w:rsidRPr="0040395E">
        <w:rPr>
          <w:rFonts w:ascii="Arial" w:eastAsia="Calibri" w:hAnsi="Arial" w:cs="Arial"/>
          <w:lang w:val="en-ZA"/>
        </w:rPr>
        <w:t xml:space="preserve">the current capacity in the data centre (storage, processing, etc.) is upgraded in order to archive data produced by various solutions (e.g. CRT, ICMS, etc.), thereby improving operational processing and data governance. </w:t>
      </w:r>
    </w:p>
    <w:p w:rsidR="0040395E" w:rsidRPr="0040395E" w:rsidRDefault="0040395E" w:rsidP="00540629">
      <w:pPr>
        <w:spacing w:line="360" w:lineRule="auto"/>
        <w:ind w:left="720"/>
        <w:contextualSpacing/>
        <w:jc w:val="both"/>
        <w:rPr>
          <w:rFonts w:ascii="Arial" w:eastAsia="Calibri" w:hAnsi="Arial" w:cs="Arial"/>
          <w:lang w:val="en-ZA"/>
        </w:rPr>
      </w:pPr>
    </w:p>
    <w:p w:rsidR="0040395E" w:rsidRPr="0040395E" w:rsidRDefault="0040395E" w:rsidP="00540629">
      <w:pPr>
        <w:spacing w:line="360" w:lineRule="auto"/>
        <w:jc w:val="both"/>
        <w:rPr>
          <w:rFonts w:ascii="Arial" w:eastAsia="Calibri" w:hAnsi="Arial" w:cs="Arial"/>
          <w:lang w:val="en-ZA"/>
        </w:rPr>
      </w:pPr>
      <w:r w:rsidRPr="0040395E">
        <w:rPr>
          <w:rFonts w:ascii="Arial" w:eastAsia="Calibri" w:hAnsi="Arial" w:cs="Arial"/>
          <w:lang w:val="en-ZA"/>
        </w:rPr>
        <w:t>IJS will continue to modernise Courts in the republic by:</w:t>
      </w:r>
    </w:p>
    <w:p w:rsidR="0040395E" w:rsidRPr="0040395E" w:rsidRDefault="0040395E" w:rsidP="00540629">
      <w:pPr>
        <w:numPr>
          <w:ilvl w:val="0"/>
          <w:numId w:val="26"/>
        </w:numPr>
        <w:spacing w:line="360" w:lineRule="auto"/>
        <w:contextualSpacing/>
        <w:jc w:val="both"/>
        <w:rPr>
          <w:rFonts w:ascii="Arial" w:eastAsia="Calibri" w:hAnsi="Arial" w:cs="Arial"/>
          <w:lang w:val="en-ZA"/>
        </w:rPr>
      </w:pPr>
      <w:r w:rsidRPr="0040395E">
        <w:rPr>
          <w:rFonts w:ascii="Arial" w:eastAsia="Calibri" w:hAnsi="Arial" w:cs="Arial"/>
          <w:lang w:val="en-ZA"/>
        </w:rPr>
        <w:t>Upgrading all infrastructure that has reached end of life</w:t>
      </w:r>
      <w:r w:rsidR="00A5615C">
        <w:rPr>
          <w:rFonts w:ascii="Arial" w:eastAsia="Calibri" w:hAnsi="Arial" w:cs="Arial"/>
          <w:lang w:val="en-ZA"/>
        </w:rPr>
        <w:t>; and</w:t>
      </w:r>
      <w:r w:rsidRPr="0040395E">
        <w:rPr>
          <w:rFonts w:ascii="Arial" w:eastAsia="Calibri" w:hAnsi="Arial" w:cs="Arial"/>
          <w:lang w:val="en-ZA"/>
        </w:rPr>
        <w:t xml:space="preserve"> </w:t>
      </w:r>
    </w:p>
    <w:p w:rsidR="0040395E" w:rsidRPr="0040395E" w:rsidRDefault="0040395E" w:rsidP="00540629">
      <w:pPr>
        <w:numPr>
          <w:ilvl w:val="0"/>
          <w:numId w:val="26"/>
        </w:numPr>
        <w:spacing w:line="360" w:lineRule="auto"/>
        <w:contextualSpacing/>
        <w:jc w:val="both"/>
        <w:rPr>
          <w:rFonts w:ascii="Arial" w:eastAsia="Calibri" w:hAnsi="Arial" w:cs="Arial"/>
          <w:lang w:val="en-ZA"/>
        </w:rPr>
      </w:pPr>
      <w:r w:rsidRPr="0040395E">
        <w:rPr>
          <w:rFonts w:ascii="Arial" w:eastAsia="Calibri" w:hAnsi="Arial" w:cs="Arial"/>
          <w:lang w:val="en-ZA"/>
        </w:rPr>
        <w:t>Developing and implemented applications to support court processes</w:t>
      </w:r>
      <w:r w:rsidR="00A5615C">
        <w:rPr>
          <w:rFonts w:ascii="Arial" w:eastAsia="Calibri" w:hAnsi="Arial" w:cs="Arial"/>
          <w:lang w:val="en-ZA"/>
        </w:rPr>
        <w:t>.</w:t>
      </w:r>
    </w:p>
    <w:p w:rsidR="00235912" w:rsidRPr="0040395E" w:rsidRDefault="00235912" w:rsidP="00540629">
      <w:pPr>
        <w:spacing w:line="360" w:lineRule="auto"/>
        <w:jc w:val="both"/>
        <w:rPr>
          <w:rFonts w:ascii="Arial" w:eastAsia="Calibri" w:hAnsi="Arial" w:cs="Arial"/>
        </w:rPr>
      </w:pPr>
    </w:p>
    <w:p w:rsidR="00540629" w:rsidRDefault="0040395E" w:rsidP="00540629">
      <w:pPr>
        <w:spacing w:line="360" w:lineRule="auto"/>
        <w:jc w:val="both"/>
        <w:rPr>
          <w:rFonts w:ascii="Arial" w:eastAsia="Calibri" w:hAnsi="Arial" w:cs="Arial"/>
        </w:rPr>
      </w:pPr>
      <w:r w:rsidRPr="0040395E">
        <w:rPr>
          <w:rFonts w:ascii="Arial" w:eastAsia="Calibri" w:hAnsi="Arial" w:cs="Arial"/>
          <w:b/>
          <w:bCs/>
          <w:u w:val="single"/>
        </w:rPr>
        <w:t>IJS overall spending</w:t>
      </w:r>
      <w:r w:rsidR="0040282C">
        <w:rPr>
          <w:rFonts w:ascii="Arial" w:hAnsi="Arial" w:cs="Arial"/>
          <w:noProof/>
          <w:lang w:val="en-ZA" w:eastAsia="en-ZA"/>
        </w:rPr>
        <w:drawing>
          <wp:anchor distT="0" distB="0" distL="114300" distR="114300" simplePos="0" relativeHeight="251657216" behindDoc="0" locked="0" layoutInCell="1" allowOverlap="1">
            <wp:simplePos x="0" y="0"/>
            <wp:positionH relativeFrom="column">
              <wp:posOffset>0</wp:posOffset>
            </wp:positionH>
            <wp:positionV relativeFrom="paragraph">
              <wp:posOffset>304800</wp:posOffset>
            </wp:positionV>
            <wp:extent cx="6191250" cy="3124200"/>
            <wp:effectExtent l="19050" t="0" r="0" b="0"/>
            <wp:wrapSquare wrapText="bothSides"/>
            <wp:docPr id="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10;&#10;Description automatically generated"/>
                    <pic:cNvPicPr>
                      <a:picLocks noChangeAspect="1" noChangeArrowheads="1"/>
                    </pic:cNvPicPr>
                  </pic:nvPicPr>
                  <pic:blipFill>
                    <a:blip r:embed="rId8"/>
                    <a:srcRect/>
                    <a:stretch>
                      <a:fillRect/>
                    </a:stretch>
                  </pic:blipFill>
                  <pic:spPr bwMode="auto">
                    <a:xfrm>
                      <a:off x="0" y="0"/>
                      <a:ext cx="6191250" cy="3124200"/>
                    </a:xfrm>
                    <a:prstGeom prst="rect">
                      <a:avLst/>
                    </a:prstGeom>
                    <a:noFill/>
                    <a:ln w="9525">
                      <a:noFill/>
                      <a:miter lim="800000"/>
                      <a:headEnd/>
                      <a:tailEnd/>
                    </a:ln>
                  </pic:spPr>
                </pic:pic>
              </a:graphicData>
            </a:graphic>
          </wp:anchor>
        </w:drawing>
      </w:r>
    </w:p>
    <w:p w:rsidR="00540629" w:rsidRDefault="00540629" w:rsidP="00540629">
      <w:pPr>
        <w:spacing w:line="360" w:lineRule="auto"/>
        <w:jc w:val="both"/>
        <w:rPr>
          <w:rFonts w:ascii="Arial" w:eastAsia="Calibri" w:hAnsi="Arial" w:cs="Arial"/>
        </w:rPr>
      </w:pPr>
    </w:p>
    <w:p w:rsidR="0040395E" w:rsidRPr="0040395E" w:rsidRDefault="0040395E" w:rsidP="00540629">
      <w:pPr>
        <w:spacing w:line="360" w:lineRule="auto"/>
        <w:jc w:val="both"/>
        <w:rPr>
          <w:rFonts w:ascii="Arial" w:eastAsia="Calibri" w:hAnsi="Arial" w:cs="Arial"/>
        </w:rPr>
      </w:pPr>
      <w:r w:rsidRPr="0040395E">
        <w:rPr>
          <w:rFonts w:ascii="Arial" w:eastAsia="Calibri" w:hAnsi="Arial" w:cs="Arial"/>
        </w:rPr>
        <w:t>The overall spending of the IJS programme from 2002 to March 2022 is ± R7.7</w:t>
      </w:r>
      <w:r w:rsidR="004B5DBE">
        <w:rPr>
          <w:rFonts w:ascii="Arial" w:eastAsia="Calibri" w:hAnsi="Arial" w:cs="Arial"/>
        </w:rPr>
        <w:t xml:space="preserve"> b</w:t>
      </w:r>
      <w:r w:rsidRPr="0040395E">
        <w:rPr>
          <w:rFonts w:ascii="Arial" w:eastAsia="Calibri" w:hAnsi="Arial" w:cs="Arial"/>
        </w:rPr>
        <w:t>il</w:t>
      </w:r>
      <w:r w:rsidR="004B5DBE">
        <w:rPr>
          <w:rFonts w:ascii="Arial" w:eastAsia="Calibri" w:hAnsi="Arial" w:cs="Arial"/>
        </w:rPr>
        <w:t>lion</w:t>
      </w:r>
      <w:r w:rsidRPr="0040395E">
        <w:rPr>
          <w:rFonts w:ascii="Arial" w:eastAsia="Calibri" w:hAnsi="Arial" w:cs="Arial"/>
        </w:rPr>
        <w:t xml:space="preserve">. </w:t>
      </w:r>
      <w:r w:rsidR="004B5DBE">
        <w:rPr>
          <w:rFonts w:ascii="Arial" w:eastAsia="Calibri" w:hAnsi="Arial" w:cs="Arial"/>
        </w:rPr>
        <w:t xml:space="preserve">However, </w:t>
      </w:r>
      <w:r w:rsidRPr="0040395E">
        <w:rPr>
          <w:rFonts w:ascii="Arial" w:eastAsia="Calibri" w:hAnsi="Arial" w:cs="Arial"/>
        </w:rPr>
        <w:t>the following should be noted:</w:t>
      </w:r>
    </w:p>
    <w:p w:rsidR="0040395E" w:rsidRPr="0040395E" w:rsidRDefault="0040395E" w:rsidP="00540629">
      <w:pPr>
        <w:numPr>
          <w:ilvl w:val="0"/>
          <w:numId w:val="27"/>
        </w:numPr>
        <w:spacing w:line="360" w:lineRule="auto"/>
        <w:contextualSpacing/>
        <w:jc w:val="both"/>
        <w:rPr>
          <w:rFonts w:ascii="Arial" w:eastAsia="Calibri" w:hAnsi="Arial" w:cs="Arial"/>
        </w:rPr>
      </w:pPr>
      <w:r w:rsidRPr="0040395E">
        <w:rPr>
          <w:rFonts w:ascii="Arial" w:eastAsia="Calibri" w:hAnsi="Arial" w:cs="Arial"/>
        </w:rPr>
        <w:t>Total spending is across all eight (8) IJS member departments for various projects relating to CJS person integration; Case management systems; Business Intelligence; and Infrastructure Modernization. It also includes IJS transversal Hub integration projects and maintenance initiatives (</w:t>
      </w:r>
      <w:r w:rsidR="004B5DBE">
        <w:rPr>
          <w:rFonts w:ascii="Arial" w:eastAsia="Calibri" w:hAnsi="Arial" w:cs="Arial"/>
        </w:rPr>
        <w:t>d</w:t>
      </w:r>
      <w:r w:rsidRPr="0040395E">
        <w:rPr>
          <w:rFonts w:ascii="Arial" w:eastAsia="Calibri" w:hAnsi="Arial" w:cs="Arial"/>
        </w:rPr>
        <w:t>aily, weekly, and monthly).</w:t>
      </w:r>
    </w:p>
    <w:p w:rsidR="0040395E" w:rsidRDefault="0040395E" w:rsidP="00D03234">
      <w:pPr>
        <w:numPr>
          <w:ilvl w:val="0"/>
          <w:numId w:val="27"/>
        </w:numPr>
        <w:spacing w:line="360" w:lineRule="auto"/>
        <w:contextualSpacing/>
        <w:jc w:val="both"/>
        <w:rPr>
          <w:rFonts w:ascii="Arial" w:eastAsia="Calibri" w:hAnsi="Arial" w:cs="Arial"/>
        </w:rPr>
      </w:pPr>
      <w:r w:rsidRPr="00540629">
        <w:rPr>
          <w:rFonts w:ascii="Arial" w:eastAsia="Calibri" w:hAnsi="Arial" w:cs="Arial"/>
        </w:rPr>
        <w:t xml:space="preserve">The IJS programme comprises of an average of </w:t>
      </w:r>
      <w:r w:rsidR="00FF7D35" w:rsidRPr="00540629">
        <w:rPr>
          <w:rFonts w:ascii="Arial" w:eastAsia="Calibri" w:hAnsi="Arial" w:cs="Arial"/>
        </w:rPr>
        <w:t>approximately</w:t>
      </w:r>
      <w:r w:rsidRPr="00540629">
        <w:rPr>
          <w:rFonts w:ascii="Arial" w:eastAsia="Calibri" w:hAnsi="Arial" w:cs="Arial"/>
        </w:rPr>
        <w:t xml:space="preserve"> 40 – 50 projects on an annual basis across all CJS member departments.</w:t>
      </w:r>
    </w:p>
    <w:p w:rsidR="002E517D" w:rsidRPr="002E517D" w:rsidRDefault="002E517D" w:rsidP="002E517D">
      <w:pPr>
        <w:spacing w:line="360" w:lineRule="auto"/>
        <w:contextualSpacing/>
        <w:jc w:val="both"/>
        <w:rPr>
          <w:rFonts w:ascii="Arial" w:eastAsia="Calibri" w:hAnsi="Arial" w:cs="Arial"/>
          <w:b/>
        </w:rPr>
      </w:pPr>
      <w:r w:rsidRPr="002E517D">
        <w:rPr>
          <w:rFonts w:ascii="Arial" w:eastAsia="Calibri" w:hAnsi="Arial" w:cs="Arial"/>
          <w:b/>
        </w:rPr>
        <w:t>END</w:t>
      </w:r>
    </w:p>
    <w:sectPr w:rsidR="002E517D" w:rsidRPr="002E517D" w:rsidSect="00A6432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8C" w:rsidRDefault="003A228C" w:rsidP="00913892">
      <w:r>
        <w:separator/>
      </w:r>
    </w:p>
  </w:endnote>
  <w:endnote w:type="continuationSeparator" w:id="0">
    <w:p w:rsidR="003A228C" w:rsidRDefault="003A228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3A228C" w:rsidRPr="003A228C">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8C" w:rsidRDefault="003A228C" w:rsidP="00913892">
      <w:r>
        <w:separator/>
      </w:r>
    </w:p>
  </w:footnote>
  <w:footnote w:type="continuationSeparator" w:id="0">
    <w:p w:rsidR="003A228C" w:rsidRDefault="003A228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D1736E"/>
    <w:multiLevelType w:val="hybridMultilevel"/>
    <w:tmpl w:val="2E68B61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7B22CE7"/>
    <w:multiLevelType w:val="hybridMultilevel"/>
    <w:tmpl w:val="BECAF5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7B7200"/>
    <w:multiLevelType w:val="hybridMultilevel"/>
    <w:tmpl w:val="5A9695D4"/>
    <w:lvl w:ilvl="0" w:tplc="1C090001">
      <w:start w:val="1"/>
      <w:numFmt w:val="bullet"/>
      <w:lvlText w:val=""/>
      <w:lvlJc w:val="left"/>
      <w:pPr>
        <w:ind w:left="709" w:hanging="360"/>
      </w:pPr>
      <w:rPr>
        <w:rFonts w:ascii="Symbol" w:hAnsi="Symbol" w:hint="default"/>
      </w:rPr>
    </w:lvl>
    <w:lvl w:ilvl="1" w:tplc="1C090003" w:tentative="1">
      <w:start w:val="1"/>
      <w:numFmt w:val="bullet"/>
      <w:lvlText w:val="o"/>
      <w:lvlJc w:val="left"/>
      <w:pPr>
        <w:ind w:left="1429" w:hanging="360"/>
      </w:pPr>
      <w:rPr>
        <w:rFonts w:ascii="Courier New" w:hAnsi="Courier New" w:cs="Courier New" w:hint="default"/>
      </w:rPr>
    </w:lvl>
    <w:lvl w:ilvl="2" w:tplc="1C090005" w:tentative="1">
      <w:start w:val="1"/>
      <w:numFmt w:val="bullet"/>
      <w:lvlText w:val=""/>
      <w:lvlJc w:val="left"/>
      <w:pPr>
        <w:ind w:left="2149" w:hanging="360"/>
      </w:pPr>
      <w:rPr>
        <w:rFonts w:ascii="Wingdings" w:hAnsi="Wingdings" w:hint="default"/>
      </w:rPr>
    </w:lvl>
    <w:lvl w:ilvl="3" w:tplc="1C090001" w:tentative="1">
      <w:start w:val="1"/>
      <w:numFmt w:val="bullet"/>
      <w:lvlText w:val=""/>
      <w:lvlJc w:val="left"/>
      <w:pPr>
        <w:ind w:left="2869" w:hanging="360"/>
      </w:pPr>
      <w:rPr>
        <w:rFonts w:ascii="Symbol" w:hAnsi="Symbol" w:hint="default"/>
      </w:rPr>
    </w:lvl>
    <w:lvl w:ilvl="4" w:tplc="1C090003" w:tentative="1">
      <w:start w:val="1"/>
      <w:numFmt w:val="bullet"/>
      <w:lvlText w:val="o"/>
      <w:lvlJc w:val="left"/>
      <w:pPr>
        <w:ind w:left="3589" w:hanging="360"/>
      </w:pPr>
      <w:rPr>
        <w:rFonts w:ascii="Courier New" w:hAnsi="Courier New" w:cs="Courier New" w:hint="default"/>
      </w:rPr>
    </w:lvl>
    <w:lvl w:ilvl="5" w:tplc="1C090005" w:tentative="1">
      <w:start w:val="1"/>
      <w:numFmt w:val="bullet"/>
      <w:lvlText w:val=""/>
      <w:lvlJc w:val="left"/>
      <w:pPr>
        <w:ind w:left="4309" w:hanging="360"/>
      </w:pPr>
      <w:rPr>
        <w:rFonts w:ascii="Wingdings" w:hAnsi="Wingdings" w:hint="default"/>
      </w:rPr>
    </w:lvl>
    <w:lvl w:ilvl="6" w:tplc="1C090001" w:tentative="1">
      <w:start w:val="1"/>
      <w:numFmt w:val="bullet"/>
      <w:lvlText w:val=""/>
      <w:lvlJc w:val="left"/>
      <w:pPr>
        <w:ind w:left="5029" w:hanging="360"/>
      </w:pPr>
      <w:rPr>
        <w:rFonts w:ascii="Symbol" w:hAnsi="Symbol" w:hint="default"/>
      </w:rPr>
    </w:lvl>
    <w:lvl w:ilvl="7" w:tplc="1C090003" w:tentative="1">
      <w:start w:val="1"/>
      <w:numFmt w:val="bullet"/>
      <w:lvlText w:val="o"/>
      <w:lvlJc w:val="left"/>
      <w:pPr>
        <w:ind w:left="5749" w:hanging="360"/>
      </w:pPr>
      <w:rPr>
        <w:rFonts w:ascii="Courier New" w:hAnsi="Courier New" w:cs="Courier New" w:hint="default"/>
      </w:rPr>
    </w:lvl>
    <w:lvl w:ilvl="8" w:tplc="1C090005" w:tentative="1">
      <w:start w:val="1"/>
      <w:numFmt w:val="bullet"/>
      <w:lvlText w:val=""/>
      <w:lvlJc w:val="left"/>
      <w:pPr>
        <w:ind w:left="6469" w:hanging="360"/>
      </w:pPr>
      <w:rPr>
        <w:rFonts w:ascii="Wingdings" w:hAnsi="Wingdings" w:hint="default"/>
      </w:rPr>
    </w:lvl>
  </w:abstractNum>
  <w:abstractNum w:abstractNumId="20">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F65679A"/>
    <w:multiLevelType w:val="hybridMultilevel"/>
    <w:tmpl w:val="905C9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7D4E0F"/>
    <w:multiLevelType w:val="hybridMultilevel"/>
    <w:tmpl w:val="A1CC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B6B197C"/>
    <w:multiLevelType w:val="hybridMultilevel"/>
    <w:tmpl w:val="DFB483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8"/>
  </w:num>
  <w:num w:numId="4">
    <w:abstractNumId w:val="16"/>
  </w:num>
  <w:num w:numId="5">
    <w:abstractNumId w:val="0"/>
  </w:num>
  <w:num w:numId="6">
    <w:abstractNumId w:val="14"/>
  </w:num>
  <w:num w:numId="7">
    <w:abstractNumId w:val="23"/>
  </w:num>
  <w:num w:numId="8">
    <w:abstractNumId w:val="6"/>
  </w:num>
  <w:num w:numId="9">
    <w:abstractNumId w:val="15"/>
  </w:num>
  <w:num w:numId="10">
    <w:abstractNumId w:val="26"/>
  </w:num>
  <w:num w:numId="11">
    <w:abstractNumId w:val="3"/>
  </w:num>
  <w:num w:numId="12">
    <w:abstractNumId w:val="20"/>
  </w:num>
  <w:num w:numId="13">
    <w:abstractNumId w:val="8"/>
  </w:num>
  <w:num w:numId="14">
    <w:abstractNumId w:val="4"/>
  </w:num>
  <w:num w:numId="15">
    <w:abstractNumId w:val="11"/>
  </w:num>
  <w:num w:numId="16">
    <w:abstractNumId w:val="21"/>
  </w:num>
  <w:num w:numId="17">
    <w:abstractNumId w:val="10"/>
  </w:num>
  <w:num w:numId="18">
    <w:abstractNumId w:val="7"/>
  </w:num>
  <w:num w:numId="19">
    <w:abstractNumId w:val="2"/>
  </w:num>
  <w:num w:numId="20">
    <w:abstractNumId w:val="5"/>
  </w:num>
  <w:num w:numId="21">
    <w:abstractNumId w:val="12"/>
  </w:num>
  <w:num w:numId="22">
    <w:abstractNumId w:val="25"/>
  </w:num>
  <w:num w:numId="23">
    <w:abstractNumId w:val="19"/>
  </w:num>
  <w:num w:numId="24">
    <w:abstractNumId w:val="1"/>
  </w:num>
  <w:num w:numId="25">
    <w:abstractNumId w:val="22"/>
  </w:num>
  <w:num w:numId="26">
    <w:abstractNumId w:val="17"/>
  </w:num>
  <w:num w:numId="27">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3E25"/>
    <w:rsid w:val="00017971"/>
    <w:rsid w:val="00026EC0"/>
    <w:rsid w:val="00030927"/>
    <w:rsid w:val="0004105D"/>
    <w:rsid w:val="0004190C"/>
    <w:rsid w:val="00046588"/>
    <w:rsid w:val="00050BFD"/>
    <w:rsid w:val="00052CE2"/>
    <w:rsid w:val="00067090"/>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D26"/>
    <w:rsid w:val="00194B05"/>
    <w:rsid w:val="0019515C"/>
    <w:rsid w:val="001A6D2A"/>
    <w:rsid w:val="001B00F0"/>
    <w:rsid w:val="001B4619"/>
    <w:rsid w:val="001B51B9"/>
    <w:rsid w:val="001C7F3F"/>
    <w:rsid w:val="001D2E53"/>
    <w:rsid w:val="001D4F07"/>
    <w:rsid w:val="001E1642"/>
    <w:rsid w:val="001E1BE7"/>
    <w:rsid w:val="001E48EE"/>
    <w:rsid w:val="001E4AC9"/>
    <w:rsid w:val="001E6A90"/>
    <w:rsid w:val="001F41F3"/>
    <w:rsid w:val="001F445E"/>
    <w:rsid w:val="001F6711"/>
    <w:rsid w:val="00203F6A"/>
    <w:rsid w:val="00213182"/>
    <w:rsid w:val="0021549B"/>
    <w:rsid w:val="00224067"/>
    <w:rsid w:val="002269FD"/>
    <w:rsid w:val="00227505"/>
    <w:rsid w:val="00235912"/>
    <w:rsid w:val="00260B24"/>
    <w:rsid w:val="00262ACE"/>
    <w:rsid w:val="00263360"/>
    <w:rsid w:val="00275216"/>
    <w:rsid w:val="0027707E"/>
    <w:rsid w:val="0028030F"/>
    <w:rsid w:val="00281574"/>
    <w:rsid w:val="002857B6"/>
    <w:rsid w:val="00286311"/>
    <w:rsid w:val="00291065"/>
    <w:rsid w:val="002A0DB1"/>
    <w:rsid w:val="002A15AC"/>
    <w:rsid w:val="002A6273"/>
    <w:rsid w:val="002B2B31"/>
    <w:rsid w:val="002B6D18"/>
    <w:rsid w:val="002C719B"/>
    <w:rsid w:val="002D3D40"/>
    <w:rsid w:val="002D5BF7"/>
    <w:rsid w:val="002D7BBD"/>
    <w:rsid w:val="002E517D"/>
    <w:rsid w:val="002E7253"/>
    <w:rsid w:val="002E79C9"/>
    <w:rsid w:val="002F0034"/>
    <w:rsid w:val="002F22DD"/>
    <w:rsid w:val="00301606"/>
    <w:rsid w:val="0031652F"/>
    <w:rsid w:val="00322BA4"/>
    <w:rsid w:val="003401CA"/>
    <w:rsid w:val="00346942"/>
    <w:rsid w:val="003520B5"/>
    <w:rsid w:val="0037187E"/>
    <w:rsid w:val="003767D7"/>
    <w:rsid w:val="003771A4"/>
    <w:rsid w:val="00381B64"/>
    <w:rsid w:val="00383858"/>
    <w:rsid w:val="00386CA6"/>
    <w:rsid w:val="003A228C"/>
    <w:rsid w:val="003A64C5"/>
    <w:rsid w:val="003A6AD0"/>
    <w:rsid w:val="003B0260"/>
    <w:rsid w:val="003C43F4"/>
    <w:rsid w:val="003C4D22"/>
    <w:rsid w:val="003C5B62"/>
    <w:rsid w:val="003D526D"/>
    <w:rsid w:val="003D780B"/>
    <w:rsid w:val="003E0CEE"/>
    <w:rsid w:val="003E72AB"/>
    <w:rsid w:val="003F2E8D"/>
    <w:rsid w:val="003F3BE0"/>
    <w:rsid w:val="003F5064"/>
    <w:rsid w:val="003F6245"/>
    <w:rsid w:val="0040282C"/>
    <w:rsid w:val="004031F8"/>
    <w:rsid w:val="0040395E"/>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5DBE"/>
    <w:rsid w:val="004B6B6B"/>
    <w:rsid w:val="004E42FA"/>
    <w:rsid w:val="004E7CD4"/>
    <w:rsid w:val="004F6FEC"/>
    <w:rsid w:val="00502868"/>
    <w:rsid w:val="00515B6A"/>
    <w:rsid w:val="005160F8"/>
    <w:rsid w:val="00540629"/>
    <w:rsid w:val="0054211D"/>
    <w:rsid w:val="005454FB"/>
    <w:rsid w:val="005601A1"/>
    <w:rsid w:val="00572F09"/>
    <w:rsid w:val="005772C1"/>
    <w:rsid w:val="005835BC"/>
    <w:rsid w:val="005856A7"/>
    <w:rsid w:val="00585897"/>
    <w:rsid w:val="00586FCA"/>
    <w:rsid w:val="00590888"/>
    <w:rsid w:val="005A0F7C"/>
    <w:rsid w:val="005A2F69"/>
    <w:rsid w:val="005A42CF"/>
    <w:rsid w:val="005B6209"/>
    <w:rsid w:val="005C4580"/>
    <w:rsid w:val="005D146C"/>
    <w:rsid w:val="005D1EEF"/>
    <w:rsid w:val="005E365A"/>
    <w:rsid w:val="005E6608"/>
    <w:rsid w:val="005F1BD4"/>
    <w:rsid w:val="00600349"/>
    <w:rsid w:val="00604F50"/>
    <w:rsid w:val="00611D96"/>
    <w:rsid w:val="00612214"/>
    <w:rsid w:val="00625CD7"/>
    <w:rsid w:val="00630932"/>
    <w:rsid w:val="00632AE9"/>
    <w:rsid w:val="0064539A"/>
    <w:rsid w:val="006538C4"/>
    <w:rsid w:val="00653FE5"/>
    <w:rsid w:val="00661BE2"/>
    <w:rsid w:val="00670788"/>
    <w:rsid w:val="0067545A"/>
    <w:rsid w:val="00682A34"/>
    <w:rsid w:val="006921BE"/>
    <w:rsid w:val="006959E4"/>
    <w:rsid w:val="006A33CE"/>
    <w:rsid w:val="006A35FB"/>
    <w:rsid w:val="006A4983"/>
    <w:rsid w:val="006B0F80"/>
    <w:rsid w:val="006B1DED"/>
    <w:rsid w:val="006B389F"/>
    <w:rsid w:val="006C0567"/>
    <w:rsid w:val="006D21F9"/>
    <w:rsid w:val="006D7E71"/>
    <w:rsid w:val="006E7917"/>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61D4"/>
    <w:rsid w:val="007B340B"/>
    <w:rsid w:val="007B7829"/>
    <w:rsid w:val="007C0AC3"/>
    <w:rsid w:val="007C1863"/>
    <w:rsid w:val="007E6925"/>
    <w:rsid w:val="007E7201"/>
    <w:rsid w:val="007F2B0B"/>
    <w:rsid w:val="007F3217"/>
    <w:rsid w:val="0080509D"/>
    <w:rsid w:val="008169B8"/>
    <w:rsid w:val="00827AC9"/>
    <w:rsid w:val="00833136"/>
    <w:rsid w:val="00846897"/>
    <w:rsid w:val="0085538B"/>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C30"/>
    <w:rsid w:val="008D4373"/>
    <w:rsid w:val="008E312C"/>
    <w:rsid w:val="008E78E6"/>
    <w:rsid w:val="008F366F"/>
    <w:rsid w:val="008F6A5A"/>
    <w:rsid w:val="009025C1"/>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13BBD"/>
    <w:rsid w:val="00A16A7E"/>
    <w:rsid w:val="00A42301"/>
    <w:rsid w:val="00A4711C"/>
    <w:rsid w:val="00A5290F"/>
    <w:rsid w:val="00A5364A"/>
    <w:rsid w:val="00A5615C"/>
    <w:rsid w:val="00A623F2"/>
    <w:rsid w:val="00A64328"/>
    <w:rsid w:val="00A6432A"/>
    <w:rsid w:val="00A66729"/>
    <w:rsid w:val="00A70AFC"/>
    <w:rsid w:val="00A7136B"/>
    <w:rsid w:val="00A85935"/>
    <w:rsid w:val="00AA13DE"/>
    <w:rsid w:val="00AA2AB0"/>
    <w:rsid w:val="00AA39AC"/>
    <w:rsid w:val="00AA52CE"/>
    <w:rsid w:val="00AB23D3"/>
    <w:rsid w:val="00AD0B35"/>
    <w:rsid w:val="00AD7B7A"/>
    <w:rsid w:val="00AF06C1"/>
    <w:rsid w:val="00AF0F1A"/>
    <w:rsid w:val="00AF2D9C"/>
    <w:rsid w:val="00AF5D91"/>
    <w:rsid w:val="00B021CE"/>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7822"/>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03234"/>
    <w:rsid w:val="00D175DC"/>
    <w:rsid w:val="00D209A0"/>
    <w:rsid w:val="00D21AB4"/>
    <w:rsid w:val="00D222F0"/>
    <w:rsid w:val="00D24750"/>
    <w:rsid w:val="00D3067D"/>
    <w:rsid w:val="00D41538"/>
    <w:rsid w:val="00D463C8"/>
    <w:rsid w:val="00D5013A"/>
    <w:rsid w:val="00D50C5D"/>
    <w:rsid w:val="00D54A16"/>
    <w:rsid w:val="00D56B43"/>
    <w:rsid w:val="00D6158A"/>
    <w:rsid w:val="00D72E9E"/>
    <w:rsid w:val="00D74CDB"/>
    <w:rsid w:val="00D764A0"/>
    <w:rsid w:val="00D76DA7"/>
    <w:rsid w:val="00D80139"/>
    <w:rsid w:val="00D86E52"/>
    <w:rsid w:val="00D93520"/>
    <w:rsid w:val="00D93903"/>
    <w:rsid w:val="00DA29F5"/>
    <w:rsid w:val="00DA495F"/>
    <w:rsid w:val="00DB11B2"/>
    <w:rsid w:val="00DC255C"/>
    <w:rsid w:val="00DC592F"/>
    <w:rsid w:val="00DC7CDA"/>
    <w:rsid w:val="00DE1284"/>
    <w:rsid w:val="00DF2638"/>
    <w:rsid w:val="00DF705C"/>
    <w:rsid w:val="00E1080E"/>
    <w:rsid w:val="00E16946"/>
    <w:rsid w:val="00E17F42"/>
    <w:rsid w:val="00E21A4E"/>
    <w:rsid w:val="00E21A66"/>
    <w:rsid w:val="00E25344"/>
    <w:rsid w:val="00E30F9B"/>
    <w:rsid w:val="00E44AFC"/>
    <w:rsid w:val="00E55AFD"/>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61D6"/>
    <w:rsid w:val="00F20EAD"/>
    <w:rsid w:val="00F220CD"/>
    <w:rsid w:val="00F26B86"/>
    <w:rsid w:val="00F30D88"/>
    <w:rsid w:val="00F31805"/>
    <w:rsid w:val="00F339F1"/>
    <w:rsid w:val="00F3487E"/>
    <w:rsid w:val="00F36003"/>
    <w:rsid w:val="00F400F2"/>
    <w:rsid w:val="00F475A6"/>
    <w:rsid w:val="00F5419D"/>
    <w:rsid w:val="00F55893"/>
    <w:rsid w:val="00F56838"/>
    <w:rsid w:val="00F63F57"/>
    <w:rsid w:val="00F646C9"/>
    <w:rsid w:val="00F72F0D"/>
    <w:rsid w:val="00F739F4"/>
    <w:rsid w:val="00F8037A"/>
    <w:rsid w:val="00F80E79"/>
    <w:rsid w:val="00F83AD6"/>
    <w:rsid w:val="00F845F2"/>
    <w:rsid w:val="00F86709"/>
    <w:rsid w:val="00F91926"/>
    <w:rsid w:val="00F921C9"/>
    <w:rsid w:val="00F95D9E"/>
    <w:rsid w:val="00FA26A6"/>
    <w:rsid w:val="00FA4D8E"/>
    <w:rsid w:val="00FA5D48"/>
    <w:rsid w:val="00FD32ED"/>
    <w:rsid w:val="00FD5CA1"/>
    <w:rsid w:val="00FE25AE"/>
    <w:rsid w:val="00FE5DBA"/>
    <w:rsid w:val="00FE64CB"/>
    <w:rsid w:val="00FF0C8B"/>
    <w:rsid w:val="00FF311C"/>
    <w:rsid w:val="00FF7D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2022-09-05T12:24:00Z</cp:lastPrinted>
  <dcterms:created xsi:type="dcterms:W3CDTF">2022-09-20T09:21:00Z</dcterms:created>
  <dcterms:modified xsi:type="dcterms:W3CDTF">2022-09-20T09:21:00Z</dcterms:modified>
</cp:coreProperties>
</file>