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4A207F" w:rsidRDefault="00BC5A3F" w:rsidP="004A207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 w:rsidRPr="004A207F">
        <w:rPr>
          <w:rFonts w:ascii="Arial" w:hAnsi="Arial" w:cs="Arial"/>
          <w:b/>
          <w:sz w:val="22"/>
          <w:szCs w:val="22"/>
        </w:rPr>
        <w:t xml:space="preserve">NATIONAL </w:t>
      </w:r>
      <w:r w:rsidR="0099170A" w:rsidRPr="004A207F">
        <w:rPr>
          <w:rFonts w:ascii="Arial" w:hAnsi="Arial" w:cs="Arial"/>
          <w:b/>
          <w:sz w:val="22"/>
          <w:szCs w:val="22"/>
        </w:rPr>
        <w:t>ASSEMBLY</w:t>
      </w:r>
    </w:p>
    <w:p w:rsidR="00BC5A3F" w:rsidRPr="004A207F" w:rsidRDefault="00BC5A3F" w:rsidP="004A207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207F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4A207F">
        <w:rPr>
          <w:rFonts w:ascii="Arial" w:hAnsi="Arial" w:cs="Arial"/>
          <w:b/>
          <w:sz w:val="22"/>
          <w:szCs w:val="22"/>
        </w:rPr>
        <w:t>WRITTEN</w:t>
      </w:r>
      <w:r w:rsidRPr="004A207F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4A207F" w:rsidRDefault="00BC5A3F" w:rsidP="004A207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55548705"/>
      <w:r w:rsidRPr="004A207F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2" w:name="_Hlk34208942"/>
      <w:bookmarkStart w:id="3" w:name="_Hlk49113957"/>
      <w:r w:rsidR="007F439B" w:rsidRPr="004A207F">
        <w:rPr>
          <w:rFonts w:ascii="Arial" w:hAnsi="Arial" w:cs="Arial"/>
          <w:b/>
          <w:sz w:val="22"/>
          <w:szCs w:val="22"/>
          <w:lang w:val="en-ZA"/>
        </w:rPr>
        <w:t>2631</w:t>
      </w:r>
      <w:r w:rsidRPr="004A207F">
        <w:rPr>
          <w:rFonts w:ascii="Arial" w:hAnsi="Arial" w:cs="Arial"/>
          <w:b/>
          <w:sz w:val="22"/>
          <w:szCs w:val="22"/>
        </w:rPr>
        <w:t>[</w:t>
      </w:r>
      <w:r w:rsidR="00737375" w:rsidRPr="004A207F">
        <w:rPr>
          <w:rFonts w:ascii="Arial" w:hAnsi="Arial" w:cs="Arial"/>
          <w:b/>
          <w:sz w:val="22"/>
          <w:szCs w:val="22"/>
        </w:rPr>
        <w:t>NW</w:t>
      </w:r>
      <w:r w:rsidR="00A60DDB" w:rsidRPr="004A207F">
        <w:rPr>
          <w:rFonts w:ascii="Arial" w:hAnsi="Arial" w:cs="Arial"/>
          <w:b/>
          <w:sz w:val="22"/>
          <w:szCs w:val="22"/>
        </w:rPr>
        <w:t>33</w:t>
      </w:r>
      <w:r w:rsidR="007F439B" w:rsidRPr="004A207F">
        <w:rPr>
          <w:rFonts w:ascii="Arial" w:hAnsi="Arial" w:cs="Arial"/>
          <w:b/>
          <w:sz w:val="22"/>
          <w:szCs w:val="22"/>
        </w:rPr>
        <w:t>45</w:t>
      </w:r>
      <w:r w:rsidR="00737375" w:rsidRPr="004A207F">
        <w:rPr>
          <w:rFonts w:ascii="Arial" w:hAnsi="Arial" w:cs="Arial"/>
          <w:b/>
          <w:sz w:val="22"/>
          <w:szCs w:val="22"/>
        </w:rPr>
        <w:t>E</w:t>
      </w:r>
      <w:r w:rsidRPr="004A207F">
        <w:rPr>
          <w:rFonts w:ascii="Arial" w:hAnsi="Arial" w:cs="Arial"/>
          <w:b/>
          <w:sz w:val="22"/>
          <w:szCs w:val="22"/>
        </w:rPr>
        <w:t>]</w:t>
      </w:r>
      <w:bookmarkEnd w:id="2"/>
    </w:p>
    <w:bookmarkEnd w:id="0"/>
    <w:bookmarkEnd w:id="1"/>
    <w:bookmarkEnd w:id="3"/>
    <w:p w:rsidR="008E3D62" w:rsidRPr="004A207F" w:rsidRDefault="008E3D62" w:rsidP="004A20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F439B" w:rsidRPr="004A207F" w:rsidRDefault="007F439B" w:rsidP="004A207F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4A207F">
        <w:rPr>
          <w:rFonts w:ascii="Arial" w:eastAsia="Calibri" w:hAnsi="Arial" w:cs="Arial"/>
          <w:b/>
          <w:sz w:val="22"/>
          <w:szCs w:val="22"/>
          <w:lang w:val="en-GB"/>
        </w:rPr>
        <w:t>2631.</w:t>
      </w:r>
      <w:r w:rsidRPr="004A207F">
        <w:rPr>
          <w:rFonts w:ascii="Arial" w:eastAsia="Calibri" w:hAnsi="Arial" w:cs="Arial"/>
          <w:b/>
          <w:sz w:val="22"/>
          <w:szCs w:val="22"/>
          <w:lang w:val="en-GB"/>
        </w:rPr>
        <w:tab/>
        <w:t>Ms B M van Minnen (DA) to ask the Minister of Finance</w:t>
      </w:r>
      <w:r w:rsidR="00F82E34" w:rsidRPr="004A207F">
        <w:rPr>
          <w:rFonts w:ascii="Arial" w:eastAsia="Calibri" w:hAnsi="Arial" w:cs="Arial"/>
          <w:b/>
          <w:sz w:val="22"/>
          <w:szCs w:val="22"/>
          <w:lang w:val="en-GB"/>
        </w:rPr>
        <w:fldChar w:fldCharType="begin"/>
      </w:r>
      <w:r w:rsidRPr="004A207F">
        <w:rPr>
          <w:rFonts w:ascii="Arial" w:eastAsia="Calibri" w:hAnsi="Arial" w:cs="Arial"/>
          <w:sz w:val="22"/>
          <w:szCs w:val="22"/>
          <w:lang w:val="en-ZA"/>
        </w:rPr>
        <w:instrText>XE "</w:instrText>
      </w:r>
      <w:r w:rsidRPr="004A207F">
        <w:rPr>
          <w:rFonts w:ascii="Arial" w:eastAsia="Calibri" w:hAnsi="Arial" w:cs="Arial"/>
          <w:b/>
          <w:sz w:val="22"/>
          <w:szCs w:val="22"/>
          <w:lang w:val="en-GB"/>
        </w:rPr>
        <w:instrText>Finance</w:instrText>
      </w:r>
      <w:r w:rsidRPr="004A207F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="00F82E34" w:rsidRPr="004A207F">
        <w:rPr>
          <w:rFonts w:ascii="Arial" w:eastAsia="Calibri" w:hAnsi="Arial" w:cs="Arial"/>
          <w:b/>
          <w:sz w:val="22"/>
          <w:szCs w:val="22"/>
          <w:lang w:val="en-GB"/>
        </w:rPr>
        <w:fldChar w:fldCharType="end"/>
      </w:r>
      <w:r w:rsidRPr="004A207F">
        <w:rPr>
          <w:rFonts w:ascii="Arial" w:eastAsia="Calibri" w:hAnsi="Arial" w:cs="Arial"/>
          <w:b/>
          <w:sz w:val="22"/>
          <w:szCs w:val="22"/>
          <w:lang w:val="en-GB"/>
        </w:rPr>
        <w:t>:</w:t>
      </w:r>
    </w:p>
    <w:p w:rsidR="007F439B" w:rsidRPr="004A207F" w:rsidRDefault="007F439B" w:rsidP="004A207F">
      <w:pPr>
        <w:spacing w:before="100" w:beforeAutospacing="1" w:after="100" w:afterAutospacing="1" w:line="360" w:lineRule="auto"/>
        <w:ind w:left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A207F">
        <w:rPr>
          <w:rFonts w:ascii="Arial" w:eastAsia="Calibri" w:hAnsi="Arial" w:cs="Arial"/>
          <w:sz w:val="22"/>
          <w:szCs w:val="22"/>
          <w:lang w:val="en-GB"/>
        </w:rPr>
        <w:t>With reference to the presentation by the Special Investigating Unit to the Standing Committee on Public Accounts on 20 October 2020, (a) what are the reasons that the municipal-level data on COVID-19 relief funds expenditure for April 2020 to August 2020 was not available at the time of the report, even though data on expenditure related to COVID-19 for 15 March 2020 to 2 October 2020 was already available on municipal level and (b) on what date will the municipal-level data on COVID-19 relief funds expenditure for April 2020 to August 2020 be available?</w:t>
      </w:r>
      <w:r w:rsidRPr="004A207F">
        <w:rPr>
          <w:rFonts w:ascii="Arial" w:eastAsia="Calibri" w:hAnsi="Arial" w:cs="Arial"/>
          <w:sz w:val="22"/>
          <w:szCs w:val="22"/>
          <w:lang w:val="en-GB"/>
        </w:rPr>
        <w:tab/>
      </w:r>
      <w:r w:rsidRPr="004A207F">
        <w:rPr>
          <w:rFonts w:ascii="Arial" w:eastAsia="Calibri" w:hAnsi="Arial" w:cs="Arial"/>
          <w:sz w:val="22"/>
          <w:szCs w:val="22"/>
          <w:lang w:val="en-GB"/>
        </w:rPr>
        <w:tab/>
      </w:r>
    </w:p>
    <w:p w:rsidR="007F439B" w:rsidRPr="004A207F" w:rsidRDefault="007F439B" w:rsidP="004A207F">
      <w:pPr>
        <w:spacing w:before="100" w:beforeAutospacing="1" w:after="100" w:afterAutospacing="1" w:line="360" w:lineRule="auto"/>
        <w:ind w:left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A207F">
        <w:rPr>
          <w:rFonts w:ascii="Arial" w:eastAsia="Calibri" w:hAnsi="Arial" w:cs="Arial"/>
          <w:sz w:val="22"/>
          <w:szCs w:val="22"/>
          <w:lang w:val="en-GB"/>
        </w:rPr>
        <w:tab/>
      </w:r>
      <w:r w:rsidRPr="004A207F">
        <w:rPr>
          <w:rFonts w:ascii="Arial" w:eastAsia="Calibri" w:hAnsi="Arial" w:cs="Arial"/>
          <w:sz w:val="22"/>
          <w:szCs w:val="22"/>
          <w:lang w:val="en-GB"/>
        </w:rPr>
        <w:tab/>
      </w:r>
      <w:r w:rsidRPr="004A207F">
        <w:rPr>
          <w:rFonts w:ascii="Arial" w:eastAsia="Calibri" w:hAnsi="Arial" w:cs="Arial"/>
          <w:sz w:val="22"/>
          <w:szCs w:val="22"/>
          <w:lang w:val="en-GB"/>
        </w:rPr>
        <w:tab/>
      </w:r>
      <w:r w:rsidRPr="004A207F">
        <w:rPr>
          <w:rFonts w:ascii="Arial" w:eastAsia="Calibri" w:hAnsi="Arial" w:cs="Arial"/>
          <w:sz w:val="22"/>
          <w:szCs w:val="22"/>
          <w:lang w:val="en-GB"/>
        </w:rPr>
        <w:tab/>
      </w:r>
      <w:r w:rsidRPr="004A207F">
        <w:rPr>
          <w:rFonts w:ascii="Arial" w:eastAsia="Calibri" w:hAnsi="Arial" w:cs="Arial"/>
          <w:sz w:val="22"/>
          <w:szCs w:val="22"/>
          <w:lang w:val="en-GB"/>
        </w:rPr>
        <w:tab/>
      </w:r>
      <w:r w:rsidRPr="004A207F">
        <w:rPr>
          <w:rFonts w:ascii="Arial" w:eastAsia="Calibri" w:hAnsi="Arial" w:cs="Arial"/>
          <w:sz w:val="22"/>
          <w:szCs w:val="22"/>
          <w:lang w:val="en-GB"/>
        </w:rPr>
        <w:tab/>
      </w:r>
      <w:r w:rsidRPr="004A207F">
        <w:rPr>
          <w:rFonts w:ascii="Arial" w:eastAsia="Calibri" w:hAnsi="Arial" w:cs="Arial"/>
          <w:sz w:val="22"/>
          <w:szCs w:val="22"/>
          <w:lang w:val="en-GB"/>
        </w:rPr>
        <w:tab/>
      </w:r>
      <w:r w:rsidRPr="004A207F">
        <w:rPr>
          <w:rFonts w:ascii="Arial" w:eastAsia="Calibri" w:hAnsi="Arial" w:cs="Arial"/>
          <w:sz w:val="22"/>
          <w:szCs w:val="22"/>
          <w:lang w:val="en-GB"/>
        </w:rPr>
        <w:tab/>
      </w:r>
      <w:r w:rsidRPr="004A207F">
        <w:rPr>
          <w:rFonts w:ascii="Arial" w:eastAsia="Calibri" w:hAnsi="Arial" w:cs="Arial"/>
          <w:sz w:val="22"/>
          <w:szCs w:val="22"/>
          <w:lang w:val="en-GB"/>
        </w:rPr>
        <w:tab/>
      </w:r>
      <w:r w:rsidRPr="004A207F">
        <w:rPr>
          <w:rFonts w:ascii="Arial" w:eastAsia="Calibri" w:hAnsi="Arial" w:cs="Arial"/>
          <w:sz w:val="22"/>
          <w:szCs w:val="22"/>
          <w:lang w:val="en-GB"/>
        </w:rPr>
        <w:tab/>
      </w:r>
      <w:bookmarkStart w:id="4" w:name="_GoBack"/>
      <w:r w:rsidRPr="004A207F">
        <w:rPr>
          <w:rFonts w:ascii="Arial" w:eastAsia="Calibri" w:hAnsi="Arial" w:cs="Arial"/>
          <w:sz w:val="22"/>
          <w:szCs w:val="22"/>
          <w:lang w:val="en-GB"/>
        </w:rPr>
        <w:t>NW3345E</w:t>
      </w:r>
      <w:bookmarkEnd w:id="4"/>
    </w:p>
    <w:p w:rsidR="008E3D62" w:rsidRPr="004A207F" w:rsidRDefault="008E3D62" w:rsidP="004A207F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A207F">
        <w:rPr>
          <w:rFonts w:ascii="Arial" w:hAnsi="Arial" w:cs="Arial"/>
          <w:b/>
          <w:sz w:val="22"/>
          <w:szCs w:val="22"/>
        </w:rPr>
        <w:t>REPLY</w:t>
      </w:r>
      <w:r w:rsidRPr="004A207F">
        <w:rPr>
          <w:rFonts w:ascii="Arial" w:hAnsi="Arial" w:cs="Arial"/>
          <w:sz w:val="22"/>
          <w:szCs w:val="22"/>
        </w:rPr>
        <w:t>:</w:t>
      </w:r>
    </w:p>
    <w:p w:rsidR="006C2558" w:rsidRPr="004A207F" w:rsidRDefault="006C2558" w:rsidP="004A207F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1B6113" w:rsidRPr="004A207F" w:rsidRDefault="001B6113" w:rsidP="004A207F">
      <w:pPr>
        <w:pStyle w:val="ListParagraph"/>
        <w:numPr>
          <w:ilvl w:val="0"/>
          <w:numId w:val="13"/>
        </w:numPr>
        <w:spacing w:line="36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4A207F">
        <w:rPr>
          <w:rFonts w:ascii="Arial" w:hAnsi="Arial" w:cs="Arial"/>
          <w:sz w:val="22"/>
          <w:szCs w:val="22"/>
        </w:rPr>
        <w:t xml:space="preserve">According to the report from the presenters to the </w:t>
      </w:r>
      <w:r w:rsidRPr="004A207F">
        <w:rPr>
          <w:rFonts w:ascii="Arial" w:eastAsia="Calibri" w:hAnsi="Arial" w:cs="Arial"/>
          <w:sz w:val="22"/>
          <w:szCs w:val="22"/>
          <w:lang w:val="en-GB"/>
        </w:rPr>
        <w:t>Standing Committee on Public Accounts</w:t>
      </w:r>
      <w:r w:rsidRPr="004A207F">
        <w:rPr>
          <w:rFonts w:ascii="Arial" w:hAnsi="Arial" w:cs="Arial"/>
          <w:sz w:val="22"/>
          <w:szCs w:val="22"/>
        </w:rPr>
        <w:t>, the information was available in the presentation pack. The graphs attached as an Annexure to this response</w:t>
      </w:r>
      <w:r w:rsidR="007A39FD" w:rsidRPr="004A207F">
        <w:rPr>
          <w:rFonts w:ascii="Arial" w:hAnsi="Arial" w:cs="Arial"/>
          <w:sz w:val="22"/>
          <w:szCs w:val="22"/>
        </w:rPr>
        <w:t xml:space="preserve"> illustrates the COVID-19 expenditure per </w:t>
      </w:r>
      <w:r w:rsidR="001A78EA" w:rsidRPr="004A207F">
        <w:rPr>
          <w:rFonts w:ascii="Arial" w:hAnsi="Arial" w:cs="Arial"/>
          <w:sz w:val="22"/>
          <w:szCs w:val="22"/>
        </w:rPr>
        <w:t xml:space="preserve">category </w:t>
      </w:r>
      <w:r w:rsidR="007A39FD" w:rsidRPr="004A207F">
        <w:rPr>
          <w:rFonts w:ascii="Arial" w:hAnsi="Arial" w:cs="Arial"/>
          <w:sz w:val="22"/>
          <w:szCs w:val="22"/>
        </w:rPr>
        <w:t xml:space="preserve">(Graph 1), expenditure by municipalities (Graph 2) and expenditure per </w:t>
      </w:r>
      <w:r w:rsidR="001A78EA" w:rsidRPr="004A207F">
        <w:rPr>
          <w:rFonts w:ascii="Arial" w:hAnsi="Arial" w:cs="Arial"/>
          <w:sz w:val="22"/>
          <w:szCs w:val="22"/>
        </w:rPr>
        <w:t xml:space="preserve">province </w:t>
      </w:r>
      <w:r w:rsidR="007A39FD" w:rsidRPr="004A207F">
        <w:rPr>
          <w:rFonts w:ascii="Arial" w:hAnsi="Arial" w:cs="Arial"/>
          <w:sz w:val="22"/>
          <w:szCs w:val="22"/>
        </w:rPr>
        <w:t xml:space="preserve">(Graph 3). </w:t>
      </w:r>
    </w:p>
    <w:p w:rsidR="00F74DB1" w:rsidRPr="004A207F" w:rsidRDefault="00F74DB1" w:rsidP="004A207F">
      <w:pPr>
        <w:pStyle w:val="ListParagraph"/>
        <w:spacing w:line="360" w:lineRule="auto"/>
        <w:ind w:left="567"/>
        <w:jc w:val="both"/>
        <w:outlineLvl w:val="0"/>
        <w:rPr>
          <w:rFonts w:ascii="Arial" w:hAnsi="Arial" w:cs="Arial"/>
          <w:sz w:val="22"/>
          <w:szCs w:val="22"/>
        </w:rPr>
      </w:pPr>
    </w:p>
    <w:p w:rsidR="00D32BF6" w:rsidRPr="004A207F" w:rsidRDefault="007A39FD" w:rsidP="004A207F">
      <w:pPr>
        <w:pStyle w:val="ListParagraph"/>
        <w:numPr>
          <w:ilvl w:val="0"/>
          <w:numId w:val="13"/>
        </w:numPr>
        <w:spacing w:line="36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4A207F">
        <w:rPr>
          <w:rFonts w:ascii="Arial" w:hAnsi="Arial" w:cs="Arial"/>
          <w:sz w:val="22"/>
          <w:szCs w:val="22"/>
        </w:rPr>
        <w:t>The information is</w:t>
      </w:r>
      <w:r w:rsidR="00F431E0" w:rsidRPr="004A207F">
        <w:rPr>
          <w:rFonts w:ascii="Arial" w:hAnsi="Arial" w:cs="Arial"/>
          <w:sz w:val="22"/>
          <w:szCs w:val="22"/>
        </w:rPr>
        <w:t xml:space="preserve"> available </w:t>
      </w:r>
      <w:r w:rsidRPr="004A207F">
        <w:rPr>
          <w:rFonts w:ascii="Arial" w:hAnsi="Arial" w:cs="Arial"/>
          <w:sz w:val="22"/>
          <w:szCs w:val="22"/>
        </w:rPr>
        <w:t xml:space="preserve">in the </w:t>
      </w:r>
      <w:r w:rsidR="00F431E0" w:rsidRPr="004A207F">
        <w:rPr>
          <w:rFonts w:ascii="Arial" w:hAnsi="Arial" w:cs="Arial"/>
          <w:sz w:val="22"/>
          <w:szCs w:val="22"/>
        </w:rPr>
        <w:t>A</w:t>
      </w:r>
      <w:r w:rsidRPr="004A207F">
        <w:rPr>
          <w:rFonts w:ascii="Arial" w:hAnsi="Arial" w:cs="Arial"/>
          <w:sz w:val="22"/>
          <w:szCs w:val="22"/>
        </w:rPr>
        <w:t>nnexure</w:t>
      </w:r>
      <w:r w:rsidR="00F431E0" w:rsidRPr="004A207F">
        <w:rPr>
          <w:rFonts w:ascii="Arial" w:hAnsi="Arial" w:cs="Arial"/>
          <w:sz w:val="22"/>
          <w:szCs w:val="22"/>
        </w:rPr>
        <w:t xml:space="preserve"> as</w:t>
      </w:r>
      <w:r w:rsidRPr="004A207F">
        <w:rPr>
          <w:rFonts w:ascii="Arial" w:hAnsi="Arial" w:cs="Arial"/>
          <w:sz w:val="22"/>
          <w:szCs w:val="22"/>
        </w:rPr>
        <w:t xml:space="preserve"> Graph 1, 2</w:t>
      </w:r>
      <w:r w:rsidR="00F431E0" w:rsidRPr="004A207F">
        <w:rPr>
          <w:rFonts w:ascii="Arial" w:hAnsi="Arial" w:cs="Arial"/>
          <w:sz w:val="22"/>
          <w:szCs w:val="22"/>
        </w:rPr>
        <w:t xml:space="preserve"> and</w:t>
      </w:r>
      <w:r w:rsidRPr="004A207F">
        <w:rPr>
          <w:rFonts w:ascii="Arial" w:hAnsi="Arial" w:cs="Arial"/>
          <w:sz w:val="22"/>
          <w:szCs w:val="22"/>
        </w:rPr>
        <w:t xml:space="preserve"> 3 attached.  </w:t>
      </w:r>
      <w:r w:rsidR="00D32BF6" w:rsidRPr="004A207F">
        <w:rPr>
          <w:rFonts w:ascii="Arial" w:hAnsi="Arial" w:cs="Arial"/>
          <w:sz w:val="22"/>
          <w:szCs w:val="22"/>
        </w:rPr>
        <w:t xml:space="preserve">National Treasury introduced a weekly reporting mechanism to track COVID-19 related expenditure. These numbers are not verified </w:t>
      </w:r>
      <w:r w:rsidRPr="004A207F">
        <w:rPr>
          <w:rFonts w:ascii="Arial" w:hAnsi="Arial" w:cs="Arial"/>
          <w:sz w:val="22"/>
          <w:szCs w:val="22"/>
        </w:rPr>
        <w:t>numbers. The 4</w:t>
      </w:r>
      <w:r w:rsidRPr="004A207F">
        <w:rPr>
          <w:rFonts w:ascii="Arial" w:hAnsi="Arial" w:cs="Arial"/>
          <w:sz w:val="22"/>
          <w:szCs w:val="22"/>
          <w:vertAlign w:val="superscript"/>
        </w:rPr>
        <w:t>th</w:t>
      </w:r>
      <w:r w:rsidRPr="004A207F">
        <w:rPr>
          <w:rFonts w:ascii="Arial" w:hAnsi="Arial" w:cs="Arial"/>
          <w:sz w:val="22"/>
          <w:szCs w:val="22"/>
        </w:rPr>
        <w:t xml:space="preserve"> Quarter ending June 2020, Section 71 of MFMA report presents verified </w:t>
      </w:r>
      <w:r w:rsidR="007649D6" w:rsidRPr="004A207F">
        <w:rPr>
          <w:rFonts w:ascii="Arial" w:hAnsi="Arial" w:cs="Arial"/>
          <w:sz w:val="22"/>
          <w:szCs w:val="22"/>
        </w:rPr>
        <w:t>numbers and is published on the Treasury website and can be accessed on the link:</w:t>
      </w:r>
    </w:p>
    <w:p w:rsidR="007649D6" w:rsidRPr="004A207F" w:rsidRDefault="00F82E34" w:rsidP="004A207F">
      <w:pPr>
        <w:spacing w:line="360" w:lineRule="auto"/>
        <w:ind w:left="567" w:right="-235"/>
        <w:jc w:val="both"/>
        <w:rPr>
          <w:rFonts w:ascii="Arial" w:hAnsi="Arial" w:cs="Arial"/>
          <w:b/>
          <w:sz w:val="22"/>
          <w:szCs w:val="22"/>
        </w:rPr>
      </w:pPr>
      <w:hyperlink r:id="rId8" w:history="1">
        <w:r w:rsidR="007649D6" w:rsidRPr="004A207F">
          <w:rPr>
            <w:rStyle w:val="Hyperlink"/>
            <w:rFonts w:ascii="Arial" w:hAnsi="Arial" w:cs="Arial"/>
            <w:b/>
            <w:sz w:val="22"/>
            <w:szCs w:val="22"/>
          </w:rPr>
          <w:t>http://mfma.treasury.gov.za/</w:t>
        </w:r>
      </w:hyperlink>
    </w:p>
    <w:p w:rsidR="00004EE1" w:rsidRPr="004A207F" w:rsidRDefault="00004EE1" w:rsidP="004A207F">
      <w:pPr>
        <w:tabs>
          <w:tab w:val="left" w:pos="432"/>
          <w:tab w:val="left" w:pos="864"/>
        </w:tabs>
        <w:spacing w:line="360" w:lineRule="auto"/>
        <w:ind w:right="-235"/>
        <w:jc w:val="both"/>
        <w:rPr>
          <w:rFonts w:ascii="Arial" w:hAnsi="Arial" w:cs="Arial"/>
          <w:sz w:val="22"/>
          <w:szCs w:val="22"/>
        </w:rPr>
      </w:pPr>
    </w:p>
    <w:p w:rsidR="005744A0" w:rsidRPr="004A207F" w:rsidRDefault="006C2558" w:rsidP="004A207F">
      <w:pPr>
        <w:spacing w:line="360" w:lineRule="auto"/>
        <w:ind w:left="567" w:right="-235"/>
        <w:jc w:val="both"/>
        <w:rPr>
          <w:rFonts w:ascii="Arial" w:hAnsi="Arial" w:cs="Arial"/>
          <w:sz w:val="22"/>
          <w:szCs w:val="22"/>
        </w:rPr>
      </w:pPr>
      <w:r w:rsidRPr="004A207F">
        <w:rPr>
          <w:rFonts w:ascii="Arial" w:hAnsi="Arial" w:cs="Arial"/>
          <w:sz w:val="22"/>
          <w:szCs w:val="22"/>
        </w:rPr>
        <w:t xml:space="preserve">In addition, </w:t>
      </w:r>
      <w:r w:rsidR="007A39FD" w:rsidRPr="004A207F">
        <w:rPr>
          <w:rFonts w:ascii="Arial" w:hAnsi="Arial" w:cs="Arial"/>
          <w:sz w:val="22"/>
          <w:szCs w:val="22"/>
        </w:rPr>
        <w:t>t</w:t>
      </w:r>
      <w:r w:rsidR="005744A0" w:rsidRPr="004A207F">
        <w:rPr>
          <w:rFonts w:ascii="Arial" w:hAnsi="Arial" w:cs="Arial"/>
          <w:sz w:val="22"/>
          <w:szCs w:val="22"/>
        </w:rPr>
        <w:t>he National Treasury issued MFMA Circular 105 to municipalities on</w:t>
      </w:r>
      <w:r w:rsidR="00004EE1" w:rsidRPr="004A207F">
        <w:rPr>
          <w:rFonts w:ascii="Arial" w:hAnsi="Arial" w:cs="Arial"/>
          <w:sz w:val="22"/>
          <w:szCs w:val="22"/>
        </w:rPr>
        <w:t xml:space="preserve"> 25</w:t>
      </w:r>
      <w:r w:rsidR="00004EE1" w:rsidRPr="004A207F">
        <w:rPr>
          <w:rFonts w:ascii="Arial" w:hAnsi="Arial" w:cs="Arial"/>
          <w:sz w:val="22"/>
          <w:szCs w:val="22"/>
          <w:vertAlign w:val="superscript"/>
        </w:rPr>
        <w:t>th</w:t>
      </w:r>
      <w:r w:rsidR="00004EE1" w:rsidRPr="004A207F">
        <w:rPr>
          <w:rFonts w:ascii="Arial" w:hAnsi="Arial" w:cs="Arial"/>
          <w:sz w:val="22"/>
          <w:szCs w:val="22"/>
        </w:rPr>
        <w:t xml:space="preserve"> of August 2020 which introduced</w:t>
      </w:r>
      <w:r w:rsidR="008B5850" w:rsidRPr="004A207F">
        <w:rPr>
          <w:rFonts w:ascii="Arial" w:hAnsi="Arial" w:cs="Arial"/>
          <w:sz w:val="22"/>
          <w:szCs w:val="22"/>
        </w:rPr>
        <w:t xml:space="preserve"> further</w:t>
      </w:r>
      <w:r w:rsidR="00004EE1" w:rsidRPr="004A207F">
        <w:rPr>
          <w:rFonts w:ascii="Arial" w:hAnsi="Arial" w:cs="Arial"/>
          <w:sz w:val="22"/>
          <w:szCs w:val="22"/>
        </w:rPr>
        <w:t xml:space="preserve"> reporting requirements </w:t>
      </w:r>
      <w:r w:rsidR="007A39FD" w:rsidRPr="004A207F">
        <w:rPr>
          <w:rFonts w:ascii="Arial" w:hAnsi="Arial" w:cs="Arial"/>
          <w:sz w:val="22"/>
          <w:szCs w:val="22"/>
        </w:rPr>
        <w:t xml:space="preserve">that </w:t>
      </w:r>
      <w:r w:rsidR="00004EE1" w:rsidRPr="004A207F">
        <w:rPr>
          <w:rFonts w:ascii="Arial" w:hAnsi="Arial" w:cs="Arial"/>
          <w:sz w:val="22"/>
          <w:szCs w:val="22"/>
        </w:rPr>
        <w:t>municipalities</w:t>
      </w:r>
      <w:r w:rsidR="007A39FD" w:rsidRPr="004A207F">
        <w:rPr>
          <w:rFonts w:ascii="Arial" w:hAnsi="Arial" w:cs="Arial"/>
          <w:sz w:val="22"/>
          <w:szCs w:val="22"/>
        </w:rPr>
        <w:t>must adhere to, these are specific to</w:t>
      </w:r>
      <w:r w:rsidR="008B5850" w:rsidRPr="004A207F">
        <w:rPr>
          <w:rFonts w:ascii="Arial" w:hAnsi="Arial" w:cs="Arial"/>
          <w:sz w:val="22"/>
          <w:szCs w:val="22"/>
        </w:rPr>
        <w:t xml:space="preserve"> procurement</w:t>
      </w:r>
      <w:r w:rsidR="007A39FD" w:rsidRPr="004A207F">
        <w:rPr>
          <w:rFonts w:ascii="Arial" w:hAnsi="Arial" w:cs="Arial"/>
          <w:sz w:val="22"/>
          <w:szCs w:val="22"/>
        </w:rPr>
        <w:t xml:space="preserve"> at the</w:t>
      </w:r>
      <w:r w:rsidR="003948D8" w:rsidRPr="004A207F">
        <w:rPr>
          <w:rFonts w:ascii="Arial" w:hAnsi="Arial" w:cs="Arial"/>
          <w:sz w:val="22"/>
          <w:szCs w:val="22"/>
        </w:rPr>
        <w:t xml:space="preserve"> transaction</w:t>
      </w:r>
      <w:r w:rsidR="008B5850" w:rsidRPr="004A207F">
        <w:rPr>
          <w:rFonts w:ascii="Arial" w:hAnsi="Arial" w:cs="Arial"/>
          <w:sz w:val="22"/>
          <w:szCs w:val="22"/>
        </w:rPr>
        <w:t xml:space="preserve"> level data</w:t>
      </w:r>
      <w:r w:rsidR="00004EE1" w:rsidRPr="004A207F">
        <w:rPr>
          <w:rFonts w:ascii="Arial" w:hAnsi="Arial" w:cs="Arial"/>
          <w:sz w:val="22"/>
          <w:szCs w:val="22"/>
        </w:rPr>
        <w:t xml:space="preserve">. </w:t>
      </w:r>
      <w:r w:rsidR="007A39FD" w:rsidRPr="004A207F">
        <w:rPr>
          <w:rFonts w:ascii="Arial" w:hAnsi="Arial" w:cs="Arial"/>
          <w:sz w:val="22"/>
          <w:szCs w:val="22"/>
        </w:rPr>
        <w:t>T</w:t>
      </w:r>
      <w:r w:rsidR="005744A0" w:rsidRPr="004A207F">
        <w:rPr>
          <w:rFonts w:ascii="Arial" w:hAnsi="Arial" w:cs="Arial"/>
          <w:sz w:val="22"/>
          <w:szCs w:val="22"/>
        </w:rPr>
        <w:t xml:space="preserve">his circular </w:t>
      </w:r>
      <w:r w:rsidR="00004EE1" w:rsidRPr="004A207F">
        <w:rPr>
          <w:rFonts w:ascii="Arial" w:hAnsi="Arial" w:cs="Arial"/>
          <w:sz w:val="22"/>
          <w:szCs w:val="22"/>
        </w:rPr>
        <w:t>requires</w:t>
      </w:r>
      <w:r w:rsidR="005744A0" w:rsidRPr="004A207F">
        <w:rPr>
          <w:rFonts w:ascii="Arial" w:hAnsi="Arial" w:cs="Arial"/>
          <w:sz w:val="22"/>
          <w:szCs w:val="22"/>
        </w:rPr>
        <w:t xml:space="preserve"> municipalities to report </w:t>
      </w:r>
      <w:r w:rsidR="003948D8" w:rsidRPr="004A207F">
        <w:rPr>
          <w:rFonts w:ascii="Arial" w:hAnsi="Arial" w:cs="Arial"/>
          <w:sz w:val="22"/>
          <w:szCs w:val="22"/>
        </w:rPr>
        <w:t>on</w:t>
      </w:r>
      <w:r w:rsidR="005744A0" w:rsidRPr="004A207F">
        <w:rPr>
          <w:rFonts w:ascii="Arial" w:hAnsi="Arial" w:cs="Arial"/>
          <w:sz w:val="22"/>
          <w:szCs w:val="22"/>
        </w:rPr>
        <w:t xml:space="preserve"> all their COVID-19 transactions on supplier level</w:t>
      </w:r>
      <w:r w:rsidR="00004EE1" w:rsidRPr="004A207F">
        <w:rPr>
          <w:rFonts w:ascii="Arial" w:hAnsi="Arial" w:cs="Arial"/>
          <w:sz w:val="22"/>
          <w:szCs w:val="22"/>
        </w:rPr>
        <w:t xml:space="preserve"> and items bought</w:t>
      </w:r>
      <w:r w:rsidR="005744A0" w:rsidRPr="004A207F">
        <w:rPr>
          <w:rFonts w:ascii="Arial" w:hAnsi="Arial" w:cs="Arial"/>
          <w:sz w:val="22"/>
          <w:szCs w:val="22"/>
        </w:rPr>
        <w:t>. The reports</w:t>
      </w:r>
      <w:r w:rsidR="0028686E" w:rsidRPr="004A207F">
        <w:rPr>
          <w:rFonts w:ascii="Arial" w:hAnsi="Arial" w:cs="Arial"/>
          <w:sz w:val="22"/>
          <w:szCs w:val="22"/>
        </w:rPr>
        <w:t>, received from</w:t>
      </w:r>
      <w:r w:rsidR="005744A0" w:rsidRPr="004A207F">
        <w:rPr>
          <w:rFonts w:ascii="Arial" w:hAnsi="Arial" w:cs="Arial"/>
          <w:sz w:val="22"/>
          <w:szCs w:val="22"/>
        </w:rPr>
        <w:t xml:space="preserve"> the municipalities</w:t>
      </w:r>
      <w:r w:rsidR="0028686E" w:rsidRPr="004A207F">
        <w:rPr>
          <w:rFonts w:ascii="Arial" w:hAnsi="Arial" w:cs="Arial"/>
          <w:sz w:val="22"/>
          <w:szCs w:val="22"/>
        </w:rPr>
        <w:t>,</w:t>
      </w:r>
      <w:r w:rsidR="005744A0" w:rsidRPr="004A207F">
        <w:rPr>
          <w:rFonts w:ascii="Arial" w:hAnsi="Arial" w:cs="Arial"/>
          <w:sz w:val="22"/>
          <w:szCs w:val="22"/>
        </w:rPr>
        <w:t xml:space="preserve"> are </w:t>
      </w:r>
      <w:r w:rsidR="0028686E" w:rsidRPr="004A207F">
        <w:rPr>
          <w:rFonts w:ascii="Arial" w:hAnsi="Arial" w:cs="Arial"/>
          <w:sz w:val="22"/>
          <w:szCs w:val="22"/>
        </w:rPr>
        <w:t xml:space="preserve">imported into the data warehouse and </w:t>
      </w:r>
      <w:r w:rsidR="005744A0" w:rsidRPr="004A207F">
        <w:rPr>
          <w:rFonts w:ascii="Arial" w:hAnsi="Arial" w:cs="Arial"/>
          <w:sz w:val="22"/>
          <w:szCs w:val="22"/>
        </w:rPr>
        <w:t>published on the Treasury website and can be accessed on the link:</w:t>
      </w:r>
    </w:p>
    <w:p w:rsidR="005744A0" w:rsidRPr="004A207F" w:rsidRDefault="00F82E34" w:rsidP="004A207F">
      <w:pPr>
        <w:spacing w:line="360" w:lineRule="auto"/>
        <w:ind w:right="-235" w:firstLine="567"/>
        <w:jc w:val="both"/>
        <w:rPr>
          <w:rFonts w:ascii="Arial" w:hAnsi="Arial" w:cs="Arial"/>
          <w:b/>
          <w:sz w:val="22"/>
          <w:szCs w:val="22"/>
          <w:u w:val="single"/>
        </w:rPr>
      </w:pPr>
      <w:hyperlink r:id="rId9" w:history="1">
        <w:r w:rsidR="005744A0" w:rsidRPr="004A207F">
          <w:rPr>
            <w:rStyle w:val="Hyperlink"/>
            <w:rFonts w:ascii="Arial" w:hAnsi="Arial" w:cs="Arial"/>
            <w:b/>
            <w:sz w:val="22"/>
            <w:szCs w:val="22"/>
          </w:rPr>
          <w:t>http://ocpo.treasury.gov.za/COVID19/Pages/Reporting-Dashboard.aspx</w:t>
        </w:r>
      </w:hyperlink>
    </w:p>
    <w:p w:rsidR="001B6113" w:rsidRDefault="001B6113" w:rsidP="00C401F8">
      <w:pPr>
        <w:pBdr>
          <w:bottom w:val="single" w:sz="6" w:space="31" w:color="auto"/>
        </w:pBd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Annexure </w:t>
      </w:r>
    </w:p>
    <w:p w:rsidR="001B6113" w:rsidRDefault="001B6113" w:rsidP="00C401F8">
      <w:pPr>
        <w:pBdr>
          <w:bottom w:val="single" w:sz="6" w:space="31" w:color="auto"/>
        </w:pBd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Graph 1</w:t>
      </w:r>
    </w:p>
    <w:p w:rsidR="001B6113" w:rsidRDefault="001B6113" w:rsidP="00C401F8">
      <w:pPr>
        <w:pBdr>
          <w:bottom w:val="single" w:sz="6" w:space="31" w:color="auto"/>
        </w:pBd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Segoe UI" w:hAnsi="Segoe UI" w:cs="Segoe UI"/>
          <w:noProof/>
          <w:sz w:val="20"/>
          <w:szCs w:val="20"/>
          <w:lang w:val="en-ZA" w:eastAsia="en-ZA"/>
        </w:rPr>
        <w:drawing>
          <wp:inline distT="0" distB="0" distL="0" distR="0">
            <wp:extent cx="5514975" cy="3847010"/>
            <wp:effectExtent l="0" t="0" r="0" b="1270"/>
            <wp:docPr id="1" name="Picture 1" descr="cid:TWDWMEEXJNRY.GW_0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TWDWMEEXJNRY.GW_00002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698" cy="386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13" w:rsidRDefault="001B6113" w:rsidP="00C401F8">
      <w:pPr>
        <w:pBdr>
          <w:bottom w:val="single" w:sz="6" w:space="31" w:color="auto"/>
        </w:pBd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Graph 2</w:t>
      </w:r>
    </w:p>
    <w:p w:rsidR="001B6113" w:rsidRDefault="001B6113" w:rsidP="00C401F8">
      <w:pPr>
        <w:pBdr>
          <w:bottom w:val="single" w:sz="6" w:space="31" w:color="auto"/>
        </w:pBd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Segoe UI" w:hAnsi="Segoe UI" w:cs="Segoe UI"/>
          <w:noProof/>
          <w:sz w:val="20"/>
          <w:szCs w:val="20"/>
          <w:lang w:val="en-ZA" w:eastAsia="en-ZA"/>
        </w:rPr>
        <w:drawing>
          <wp:inline distT="0" distB="0" distL="0" distR="0">
            <wp:extent cx="5362575" cy="3606728"/>
            <wp:effectExtent l="0" t="0" r="0" b="0"/>
            <wp:docPr id="2" name="Picture 2" descr="cid:HZLPWUTKJPLR.GW_0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HZLPWUTKJPLR.GW_00003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225" cy="367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13" w:rsidRDefault="001B6113" w:rsidP="00C401F8">
      <w:pPr>
        <w:pBdr>
          <w:bottom w:val="single" w:sz="6" w:space="31" w:color="auto"/>
        </w:pBd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Graph 3</w:t>
      </w:r>
    </w:p>
    <w:p w:rsidR="001B6113" w:rsidRDefault="001B6113" w:rsidP="00C401F8">
      <w:pPr>
        <w:pBdr>
          <w:bottom w:val="single" w:sz="6" w:space="31" w:color="auto"/>
        </w:pBd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Segoe UI" w:hAnsi="Segoe UI" w:cs="Segoe UI"/>
          <w:noProof/>
          <w:sz w:val="20"/>
          <w:szCs w:val="20"/>
          <w:lang w:val="en-ZA" w:eastAsia="en-ZA"/>
        </w:rPr>
        <w:lastRenderedPageBreak/>
        <w:drawing>
          <wp:inline distT="0" distB="0" distL="0" distR="0">
            <wp:extent cx="5971540" cy="4243605"/>
            <wp:effectExtent l="0" t="0" r="0" b="5080"/>
            <wp:docPr id="3" name="Picture 3" descr="cid:HITUISQJTOXR.GW_0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HITUISQJTOXR.GW_00004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2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113" w:rsidSect="0028686E">
      <w:pgSz w:w="12240" w:h="15840" w:code="1"/>
      <w:pgMar w:top="851" w:right="1418" w:bottom="851" w:left="1418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569" w:rsidRDefault="00672569" w:rsidP="00380E88">
      <w:r>
        <w:separator/>
      </w:r>
    </w:p>
  </w:endnote>
  <w:endnote w:type="continuationSeparator" w:id="1">
    <w:p w:rsidR="00672569" w:rsidRDefault="00672569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569" w:rsidRDefault="00672569" w:rsidP="00380E88">
      <w:r>
        <w:separator/>
      </w:r>
    </w:p>
  </w:footnote>
  <w:footnote w:type="continuationSeparator" w:id="1">
    <w:p w:rsidR="00672569" w:rsidRDefault="00672569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B2A6633"/>
    <w:multiLevelType w:val="hybridMultilevel"/>
    <w:tmpl w:val="A5682D44"/>
    <w:lvl w:ilvl="0" w:tplc="D1705714">
      <w:start w:val="1"/>
      <w:numFmt w:val="lowerLetter"/>
      <w:lvlText w:val="(%1)"/>
      <w:lvlJc w:val="left"/>
      <w:pPr>
        <w:ind w:left="360" w:hanging="360"/>
      </w:pPr>
      <w:rPr>
        <w:rFonts w:eastAsia="Calibri"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3E28"/>
    <w:rsid w:val="00004EE1"/>
    <w:rsid w:val="000054AE"/>
    <w:rsid w:val="00011016"/>
    <w:rsid w:val="00012A82"/>
    <w:rsid w:val="00016A41"/>
    <w:rsid w:val="00020C04"/>
    <w:rsid w:val="000235AD"/>
    <w:rsid w:val="00023BC3"/>
    <w:rsid w:val="00025170"/>
    <w:rsid w:val="00026160"/>
    <w:rsid w:val="0002634B"/>
    <w:rsid w:val="000319D5"/>
    <w:rsid w:val="00041437"/>
    <w:rsid w:val="00042E4A"/>
    <w:rsid w:val="00053303"/>
    <w:rsid w:val="0005383F"/>
    <w:rsid w:val="00060E09"/>
    <w:rsid w:val="00063E28"/>
    <w:rsid w:val="0007743C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B14"/>
    <w:rsid w:val="000F5178"/>
    <w:rsid w:val="00100CC2"/>
    <w:rsid w:val="00110946"/>
    <w:rsid w:val="00122C88"/>
    <w:rsid w:val="00123B87"/>
    <w:rsid w:val="00130348"/>
    <w:rsid w:val="00132CAF"/>
    <w:rsid w:val="00132CF0"/>
    <w:rsid w:val="00134614"/>
    <w:rsid w:val="001433AE"/>
    <w:rsid w:val="0014441E"/>
    <w:rsid w:val="00147193"/>
    <w:rsid w:val="0015727B"/>
    <w:rsid w:val="00170407"/>
    <w:rsid w:val="00183EB5"/>
    <w:rsid w:val="00197576"/>
    <w:rsid w:val="001A78EA"/>
    <w:rsid w:val="001B0917"/>
    <w:rsid w:val="001B1E0F"/>
    <w:rsid w:val="001B6113"/>
    <w:rsid w:val="001B7F2A"/>
    <w:rsid w:val="001C135E"/>
    <w:rsid w:val="001C1E62"/>
    <w:rsid w:val="001D24BA"/>
    <w:rsid w:val="001D267B"/>
    <w:rsid w:val="001D4937"/>
    <w:rsid w:val="001E1132"/>
    <w:rsid w:val="001E3FB5"/>
    <w:rsid w:val="001E6902"/>
    <w:rsid w:val="001F4B50"/>
    <w:rsid w:val="001F7560"/>
    <w:rsid w:val="002065BA"/>
    <w:rsid w:val="00207912"/>
    <w:rsid w:val="00223863"/>
    <w:rsid w:val="0022502D"/>
    <w:rsid w:val="00230BF6"/>
    <w:rsid w:val="002314BC"/>
    <w:rsid w:val="00251791"/>
    <w:rsid w:val="00260251"/>
    <w:rsid w:val="00262F05"/>
    <w:rsid w:val="0027436F"/>
    <w:rsid w:val="002855CE"/>
    <w:rsid w:val="00285EA1"/>
    <w:rsid w:val="0028635F"/>
    <w:rsid w:val="002867DD"/>
    <w:rsid w:val="0028686E"/>
    <w:rsid w:val="002927CD"/>
    <w:rsid w:val="00293E24"/>
    <w:rsid w:val="002A4157"/>
    <w:rsid w:val="002B3B25"/>
    <w:rsid w:val="002B7345"/>
    <w:rsid w:val="002D104B"/>
    <w:rsid w:val="002D10B3"/>
    <w:rsid w:val="002D2A4C"/>
    <w:rsid w:val="002D499A"/>
    <w:rsid w:val="002E4AA0"/>
    <w:rsid w:val="002F6E86"/>
    <w:rsid w:val="003005D2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93919"/>
    <w:rsid w:val="003948D8"/>
    <w:rsid w:val="003A5B00"/>
    <w:rsid w:val="003A6BD5"/>
    <w:rsid w:val="003B0336"/>
    <w:rsid w:val="003B0A2D"/>
    <w:rsid w:val="003D0E83"/>
    <w:rsid w:val="003D5A20"/>
    <w:rsid w:val="003E03B4"/>
    <w:rsid w:val="003E2711"/>
    <w:rsid w:val="003E6A8B"/>
    <w:rsid w:val="003F1329"/>
    <w:rsid w:val="003F6A56"/>
    <w:rsid w:val="00413ABE"/>
    <w:rsid w:val="00413C95"/>
    <w:rsid w:val="00422EC6"/>
    <w:rsid w:val="0042645C"/>
    <w:rsid w:val="00427ECA"/>
    <w:rsid w:val="0043065E"/>
    <w:rsid w:val="00435EA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2CD8"/>
    <w:rsid w:val="00496D69"/>
    <w:rsid w:val="004A078E"/>
    <w:rsid w:val="004A207F"/>
    <w:rsid w:val="004A7866"/>
    <w:rsid w:val="004B1526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E7A83"/>
    <w:rsid w:val="004F43FB"/>
    <w:rsid w:val="00503CF8"/>
    <w:rsid w:val="005062A3"/>
    <w:rsid w:val="005141B3"/>
    <w:rsid w:val="00522B65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4A0"/>
    <w:rsid w:val="00574E19"/>
    <w:rsid w:val="005801E0"/>
    <w:rsid w:val="005853FD"/>
    <w:rsid w:val="005A3443"/>
    <w:rsid w:val="005A4B7A"/>
    <w:rsid w:val="005B6F0A"/>
    <w:rsid w:val="005D0154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2B16"/>
    <w:rsid w:val="0064512A"/>
    <w:rsid w:val="00646E7C"/>
    <w:rsid w:val="00647EF2"/>
    <w:rsid w:val="00651616"/>
    <w:rsid w:val="00653A85"/>
    <w:rsid w:val="00666668"/>
    <w:rsid w:val="00672569"/>
    <w:rsid w:val="00672734"/>
    <w:rsid w:val="00675635"/>
    <w:rsid w:val="00685058"/>
    <w:rsid w:val="00685F0E"/>
    <w:rsid w:val="00687D9E"/>
    <w:rsid w:val="00693A64"/>
    <w:rsid w:val="006951C6"/>
    <w:rsid w:val="006B61B0"/>
    <w:rsid w:val="006C2558"/>
    <w:rsid w:val="006C2D5C"/>
    <w:rsid w:val="006D1766"/>
    <w:rsid w:val="006D1B36"/>
    <w:rsid w:val="006D2C61"/>
    <w:rsid w:val="006D2F61"/>
    <w:rsid w:val="006D39E9"/>
    <w:rsid w:val="007118EA"/>
    <w:rsid w:val="00712545"/>
    <w:rsid w:val="00712E95"/>
    <w:rsid w:val="00726A9C"/>
    <w:rsid w:val="007359BF"/>
    <w:rsid w:val="00737375"/>
    <w:rsid w:val="00743F26"/>
    <w:rsid w:val="00751942"/>
    <w:rsid w:val="00751A1E"/>
    <w:rsid w:val="007540E0"/>
    <w:rsid w:val="007544A8"/>
    <w:rsid w:val="007649D6"/>
    <w:rsid w:val="0076668B"/>
    <w:rsid w:val="007749D9"/>
    <w:rsid w:val="00780F57"/>
    <w:rsid w:val="00783E1A"/>
    <w:rsid w:val="0079022D"/>
    <w:rsid w:val="007914E0"/>
    <w:rsid w:val="0079284D"/>
    <w:rsid w:val="007A32AF"/>
    <w:rsid w:val="007A39FD"/>
    <w:rsid w:val="007A78C0"/>
    <w:rsid w:val="007B1BA1"/>
    <w:rsid w:val="007C3B62"/>
    <w:rsid w:val="007C44DF"/>
    <w:rsid w:val="007C4690"/>
    <w:rsid w:val="007C5A36"/>
    <w:rsid w:val="007D25DF"/>
    <w:rsid w:val="007D4060"/>
    <w:rsid w:val="007E56A2"/>
    <w:rsid w:val="007F18AA"/>
    <w:rsid w:val="007F439B"/>
    <w:rsid w:val="007F5C89"/>
    <w:rsid w:val="00800B54"/>
    <w:rsid w:val="00803AC4"/>
    <w:rsid w:val="00807B52"/>
    <w:rsid w:val="00811367"/>
    <w:rsid w:val="00813FF0"/>
    <w:rsid w:val="00814CE4"/>
    <w:rsid w:val="008223D4"/>
    <w:rsid w:val="008270A1"/>
    <w:rsid w:val="008321A4"/>
    <w:rsid w:val="0084121D"/>
    <w:rsid w:val="00852DC3"/>
    <w:rsid w:val="00854F65"/>
    <w:rsid w:val="008600E0"/>
    <w:rsid w:val="008631A7"/>
    <w:rsid w:val="00866056"/>
    <w:rsid w:val="00876CBB"/>
    <w:rsid w:val="008779EA"/>
    <w:rsid w:val="00880EA8"/>
    <w:rsid w:val="0088688A"/>
    <w:rsid w:val="00891265"/>
    <w:rsid w:val="00893761"/>
    <w:rsid w:val="00897498"/>
    <w:rsid w:val="00897F0B"/>
    <w:rsid w:val="008A25B9"/>
    <w:rsid w:val="008A3396"/>
    <w:rsid w:val="008A4EBA"/>
    <w:rsid w:val="008A53E5"/>
    <w:rsid w:val="008B5850"/>
    <w:rsid w:val="008C0D4C"/>
    <w:rsid w:val="008C2559"/>
    <w:rsid w:val="008C2974"/>
    <w:rsid w:val="008E01C3"/>
    <w:rsid w:val="008E3D62"/>
    <w:rsid w:val="008E4142"/>
    <w:rsid w:val="008F2375"/>
    <w:rsid w:val="008F7690"/>
    <w:rsid w:val="00905110"/>
    <w:rsid w:val="00910B58"/>
    <w:rsid w:val="00911717"/>
    <w:rsid w:val="009163A5"/>
    <w:rsid w:val="00917C44"/>
    <w:rsid w:val="009203A2"/>
    <w:rsid w:val="00931B28"/>
    <w:rsid w:val="00933C7B"/>
    <w:rsid w:val="0093680D"/>
    <w:rsid w:val="009508F2"/>
    <w:rsid w:val="00950F95"/>
    <w:rsid w:val="00953363"/>
    <w:rsid w:val="0096007E"/>
    <w:rsid w:val="00960B82"/>
    <w:rsid w:val="00972601"/>
    <w:rsid w:val="0097786E"/>
    <w:rsid w:val="00977E9D"/>
    <w:rsid w:val="00986C1B"/>
    <w:rsid w:val="00987BC9"/>
    <w:rsid w:val="0099170A"/>
    <w:rsid w:val="009A18A7"/>
    <w:rsid w:val="009C45D6"/>
    <w:rsid w:val="009C72B2"/>
    <w:rsid w:val="009E1AB2"/>
    <w:rsid w:val="009E24E9"/>
    <w:rsid w:val="009F2415"/>
    <w:rsid w:val="009F480A"/>
    <w:rsid w:val="00A02200"/>
    <w:rsid w:val="00A15D3C"/>
    <w:rsid w:val="00A1736D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0DDB"/>
    <w:rsid w:val="00A677C3"/>
    <w:rsid w:val="00A72B9B"/>
    <w:rsid w:val="00A84063"/>
    <w:rsid w:val="00A952EA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1562B"/>
    <w:rsid w:val="00B20E37"/>
    <w:rsid w:val="00B31AAE"/>
    <w:rsid w:val="00B35E0C"/>
    <w:rsid w:val="00B447E6"/>
    <w:rsid w:val="00B535A3"/>
    <w:rsid w:val="00B57527"/>
    <w:rsid w:val="00B62882"/>
    <w:rsid w:val="00B65F8F"/>
    <w:rsid w:val="00B70C7B"/>
    <w:rsid w:val="00B716A6"/>
    <w:rsid w:val="00B753E3"/>
    <w:rsid w:val="00B75BBC"/>
    <w:rsid w:val="00B76831"/>
    <w:rsid w:val="00B76B61"/>
    <w:rsid w:val="00B77F67"/>
    <w:rsid w:val="00B81176"/>
    <w:rsid w:val="00B83E8B"/>
    <w:rsid w:val="00B913C7"/>
    <w:rsid w:val="00B95452"/>
    <w:rsid w:val="00B96B34"/>
    <w:rsid w:val="00BA517C"/>
    <w:rsid w:val="00BA5C4D"/>
    <w:rsid w:val="00BB333E"/>
    <w:rsid w:val="00BB416B"/>
    <w:rsid w:val="00BC0A3B"/>
    <w:rsid w:val="00BC3150"/>
    <w:rsid w:val="00BC4BEA"/>
    <w:rsid w:val="00BC5A3F"/>
    <w:rsid w:val="00BD31C6"/>
    <w:rsid w:val="00BE533B"/>
    <w:rsid w:val="00C06302"/>
    <w:rsid w:val="00C223DB"/>
    <w:rsid w:val="00C24F96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4FDB"/>
    <w:rsid w:val="00CB51AD"/>
    <w:rsid w:val="00CC2F3E"/>
    <w:rsid w:val="00CC7673"/>
    <w:rsid w:val="00D01E04"/>
    <w:rsid w:val="00D05765"/>
    <w:rsid w:val="00D1433D"/>
    <w:rsid w:val="00D17D13"/>
    <w:rsid w:val="00D20E78"/>
    <w:rsid w:val="00D20F25"/>
    <w:rsid w:val="00D2724B"/>
    <w:rsid w:val="00D32BF6"/>
    <w:rsid w:val="00D332C0"/>
    <w:rsid w:val="00D3397E"/>
    <w:rsid w:val="00D3403D"/>
    <w:rsid w:val="00D34050"/>
    <w:rsid w:val="00D363B6"/>
    <w:rsid w:val="00D37422"/>
    <w:rsid w:val="00D46E69"/>
    <w:rsid w:val="00D61422"/>
    <w:rsid w:val="00D74F80"/>
    <w:rsid w:val="00D761DC"/>
    <w:rsid w:val="00DB2463"/>
    <w:rsid w:val="00DC769E"/>
    <w:rsid w:val="00DC76EF"/>
    <w:rsid w:val="00DD0F3E"/>
    <w:rsid w:val="00DD2A0D"/>
    <w:rsid w:val="00DD5296"/>
    <w:rsid w:val="00DE122E"/>
    <w:rsid w:val="00DE3CBB"/>
    <w:rsid w:val="00DE76CB"/>
    <w:rsid w:val="00DF0D26"/>
    <w:rsid w:val="00DF3ED4"/>
    <w:rsid w:val="00DF4200"/>
    <w:rsid w:val="00DF746E"/>
    <w:rsid w:val="00DF7D10"/>
    <w:rsid w:val="00E01FF6"/>
    <w:rsid w:val="00E0626A"/>
    <w:rsid w:val="00E103FB"/>
    <w:rsid w:val="00E150D2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938DE"/>
    <w:rsid w:val="00EA468F"/>
    <w:rsid w:val="00EA6A49"/>
    <w:rsid w:val="00EA792E"/>
    <w:rsid w:val="00EB04E2"/>
    <w:rsid w:val="00EC21DD"/>
    <w:rsid w:val="00EC347E"/>
    <w:rsid w:val="00EC4BF6"/>
    <w:rsid w:val="00ED1050"/>
    <w:rsid w:val="00ED3A3C"/>
    <w:rsid w:val="00EE7DD6"/>
    <w:rsid w:val="00EF5BB4"/>
    <w:rsid w:val="00F03C60"/>
    <w:rsid w:val="00F04D43"/>
    <w:rsid w:val="00F05CB1"/>
    <w:rsid w:val="00F201B8"/>
    <w:rsid w:val="00F33FD4"/>
    <w:rsid w:val="00F36709"/>
    <w:rsid w:val="00F4189C"/>
    <w:rsid w:val="00F431E0"/>
    <w:rsid w:val="00F47FDD"/>
    <w:rsid w:val="00F51C17"/>
    <w:rsid w:val="00F5571A"/>
    <w:rsid w:val="00F6058B"/>
    <w:rsid w:val="00F65949"/>
    <w:rsid w:val="00F673A7"/>
    <w:rsid w:val="00F70594"/>
    <w:rsid w:val="00F74DB1"/>
    <w:rsid w:val="00F754AB"/>
    <w:rsid w:val="00F76106"/>
    <w:rsid w:val="00F8147B"/>
    <w:rsid w:val="00F82E34"/>
    <w:rsid w:val="00F87EA6"/>
    <w:rsid w:val="00F903C3"/>
    <w:rsid w:val="00FB0ABC"/>
    <w:rsid w:val="00FB5217"/>
    <w:rsid w:val="00FC2064"/>
    <w:rsid w:val="00FC2209"/>
    <w:rsid w:val="00FC224A"/>
    <w:rsid w:val="00FC4E03"/>
    <w:rsid w:val="00FD2E66"/>
    <w:rsid w:val="00FD595E"/>
    <w:rsid w:val="00FE4A54"/>
    <w:rsid w:val="00FE6729"/>
    <w:rsid w:val="00FE6F3D"/>
    <w:rsid w:val="00FF2914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F4A2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4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ma.treasury.gov.za/" TargetMode="External"/><Relationship Id="rId13" Type="http://schemas.openxmlformats.org/officeDocument/2006/relationships/image" Target="cid:HZLPWUTKJPLR.GW_00003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TWDWMEEXJNRY.GW_00002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HITUISQJTOXR.GW_00004.png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ocpo.treasury.gov.za/COVID19/Pages/Reporting-Dashboard.asp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266A-9494-4620-8BD9-095BCEBA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2020-11-17T07:50:00Z</cp:lastPrinted>
  <dcterms:created xsi:type="dcterms:W3CDTF">2020-12-08T17:13:00Z</dcterms:created>
  <dcterms:modified xsi:type="dcterms:W3CDTF">2020-12-08T17:13:00Z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