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7C6B2B"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06875"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7C6B2B"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29783D"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7C6B2B">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7C6B2B"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NO 2</w:t>
      </w:r>
      <w:r w:rsidR="0029783D">
        <w:rPr>
          <w:rFonts w:ascii="Arial" w:hAnsi="Arial" w:cs="Arial"/>
          <w:b/>
          <w:noProof/>
          <w:sz w:val="22"/>
          <w:szCs w:val="22"/>
        </w:rPr>
        <w:t>63</w:t>
      </w:r>
    </w:p>
    <w:p w:rsidR="00E83E3C" w:rsidRDefault="007C6B2B"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w:t>
      </w:r>
      <w:r w:rsidR="0029783D">
        <w:rPr>
          <w:rFonts w:ascii="Arial" w:hAnsi="Arial" w:cs="Arial"/>
          <w:b/>
          <w:noProof/>
          <w:sz w:val="22"/>
          <w:szCs w:val="22"/>
        </w:rPr>
        <w:t>8</w:t>
      </w:r>
      <w:r w:rsidR="009C6521" w:rsidRPr="009C6521">
        <w:rPr>
          <w:rFonts w:ascii="Arial" w:hAnsi="Arial" w:cs="Arial"/>
          <w:b/>
          <w:noProof/>
          <w:sz w:val="22"/>
          <w:szCs w:val="22"/>
        </w:rPr>
        <w:t xml:space="preserve"> FEBRUARY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7C6B2B"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29783D" w:rsidRDefault="0029783D" w:rsidP="0029783D">
      <w:pPr>
        <w:spacing w:line="360" w:lineRule="auto"/>
        <w:ind w:left="540" w:hanging="540"/>
        <w:jc w:val="both"/>
        <w:rPr>
          <w:rFonts w:ascii="Arial" w:hAnsi="Arial" w:cs="Arial"/>
          <w:b/>
          <w:bCs/>
        </w:rPr>
      </w:pPr>
      <w:r w:rsidRPr="0029783D">
        <w:rPr>
          <w:rFonts w:ascii="Arial" w:eastAsia="Arial" w:hAnsi="Arial" w:cs="Arial"/>
          <w:b/>
          <w:bCs/>
          <w:sz w:val="22"/>
        </w:rPr>
        <w:t xml:space="preserve">263: Mr K </w:t>
      </w:r>
      <w:proofErr w:type="spellStart"/>
      <w:r w:rsidRPr="0029783D">
        <w:rPr>
          <w:rFonts w:ascii="Arial" w:eastAsia="Arial" w:hAnsi="Arial" w:cs="Arial"/>
          <w:b/>
          <w:bCs/>
          <w:sz w:val="22"/>
        </w:rPr>
        <w:t>Ceza</w:t>
      </w:r>
      <w:proofErr w:type="spellEnd"/>
      <w:r w:rsidRPr="0029783D">
        <w:rPr>
          <w:rFonts w:ascii="Arial" w:eastAsia="Arial" w:hAnsi="Arial" w:cs="Arial"/>
          <w:b/>
          <w:bCs/>
          <w:sz w:val="22"/>
        </w:rPr>
        <w:t xml:space="preserve"> (EFF) </w:t>
      </w:r>
      <w:r w:rsidRPr="0029783D">
        <w:rPr>
          <w:rFonts w:ascii="Arial" w:hAnsi="Arial" w:cs="Arial"/>
          <w:b/>
          <w:bCs/>
        </w:rPr>
        <w:t>to</w:t>
      </w:r>
      <w:r w:rsidRPr="00D906DD">
        <w:rPr>
          <w:rFonts w:ascii="Arial" w:hAnsi="Arial" w:cs="Arial"/>
          <w:b/>
          <w:bCs/>
        </w:rPr>
        <w:t xml:space="preserve"> ask the Minister of Cooperative Governance and Traditional Affairs</w:t>
      </w:r>
      <w:r w:rsidR="00611551" w:rsidRPr="00D906DD">
        <w:rPr>
          <w:rFonts w:ascii="Arial" w:hAnsi="Arial" w:cs="Arial"/>
          <w:b/>
          <w:bCs/>
        </w:rPr>
        <w:fldChar w:fldCharType="begin"/>
      </w:r>
      <w:r w:rsidRPr="00D906DD">
        <w:rPr>
          <w:rFonts w:ascii="Arial" w:hAnsi="Arial" w:cs="Arial"/>
          <w:b/>
          <w:bCs/>
          <w:lang w:val="en-ZA"/>
        </w:rPr>
        <w:instrText xml:space="preserve"> XE "</w:instrText>
      </w:r>
      <w:r w:rsidRPr="00D906DD">
        <w:rPr>
          <w:rFonts w:ascii="Arial" w:hAnsi="Arial" w:cs="Arial"/>
          <w:b/>
          <w:bCs/>
        </w:rPr>
        <w:instrText>Cooperative Governance and Traditional Affairs</w:instrText>
      </w:r>
      <w:r w:rsidRPr="00D906DD">
        <w:rPr>
          <w:rFonts w:ascii="Arial" w:hAnsi="Arial" w:cs="Arial"/>
          <w:b/>
          <w:bCs/>
          <w:lang w:val="en-ZA"/>
        </w:rPr>
        <w:instrText xml:space="preserve">" </w:instrText>
      </w:r>
      <w:r w:rsidR="00611551" w:rsidRPr="00D906DD">
        <w:rPr>
          <w:rFonts w:ascii="Arial" w:hAnsi="Arial" w:cs="Arial"/>
          <w:b/>
          <w:bCs/>
        </w:rPr>
        <w:fldChar w:fldCharType="end"/>
      </w:r>
      <w:r w:rsidRPr="00D906DD">
        <w:rPr>
          <w:rFonts w:ascii="Arial" w:hAnsi="Arial" w:cs="Arial"/>
          <w:b/>
          <w:bCs/>
        </w:rPr>
        <w:t>:</w:t>
      </w:r>
    </w:p>
    <w:p w:rsidR="0029783D" w:rsidRDefault="0029783D" w:rsidP="0029783D">
      <w:pPr>
        <w:spacing w:line="360" w:lineRule="auto"/>
        <w:ind w:left="540" w:hanging="540"/>
        <w:jc w:val="both"/>
        <w:rPr>
          <w:rFonts w:ascii="Arial" w:eastAsia="Arial" w:hAnsi="Arial" w:cs="Arial"/>
          <w:sz w:val="22"/>
        </w:rPr>
      </w:pPr>
    </w:p>
    <w:p w:rsidR="00727021" w:rsidRDefault="007C6B2B" w:rsidP="0029783D">
      <w:pPr>
        <w:spacing w:line="360" w:lineRule="auto"/>
        <w:jc w:val="both"/>
      </w:pPr>
      <w:r>
        <w:rPr>
          <w:rFonts w:ascii="Arial" w:eastAsia="Arial" w:hAnsi="Arial" w:cs="Arial"/>
          <w:sz w:val="22"/>
        </w:rPr>
        <w:t xml:space="preserve">Taking into account the depth of decay at the </w:t>
      </w:r>
      <w:proofErr w:type="spellStart"/>
      <w:r>
        <w:rPr>
          <w:rFonts w:ascii="Arial" w:eastAsia="Arial" w:hAnsi="Arial" w:cs="Arial"/>
          <w:sz w:val="22"/>
        </w:rPr>
        <w:t>Amahlathi</w:t>
      </w:r>
      <w:proofErr w:type="spellEnd"/>
      <w:r>
        <w:rPr>
          <w:rFonts w:ascii="Arial" w:eastAsia="Arial" w:hAnsi="Arial" w:cs="Arial"/>
          <w:sz w:val="22"/>
        </w:rPr>
        <w:t xml:space="preserve"> Local Municipality, which has led to the municipality being unable to deliver any sort of services, what are the reasons that the municipality has been left on its own without any intervention from either the provincial or national government?</w:t>
      </w:r>
      <w:r>
        <w:rPr>
          <w:rFonts w:ascii="Arial" w:eastAsia="Arial" w:hAnsi="Arial" w:cs="Arial"/>
          <w:b/>
          <w:bCs/>
          <w:sz w:val="22"/>
        </w:rPr>
        <w:t xml:space="preserve">                                                              </w:t>
      </w:r>
      <w:r>
        <w:rPr>
          <w:rFonts w:ascii="Arial" w:eastAsia="Arial" w:hAnsi="Arial" w:cs="Arial"/>
          <w:sz w:val="22"/>
        </w:rPr>
        <w:t>NW243E</w:t>
      </w:r>
    </w:p>
    <w:p w:rsidR="0029783D" w:rsidRPr="0029783D" w:rsidRDefault="0029783D" w:rsidP="0029783D">
      <w:pPr>
        <w:spacing w:after="200" w:line="360" w:lineRule="auto"/>
        <w:rPr>
          <w:rFonts w:ascii="Arial" w:hAnsi="Arial" w:cs="Arial"/>
          <w:b/>
          <w:bCs/>
        </w:rPr>
      </w:pPr>
    </w:p>
    <w:p w:rsidR="00E83E3C" w:rsidRPr="0029783D" w:rsidRDefault="007C6B2B" w:rsidP="0029783D">
      <w:pPr>
        <w:spacing w:after="200" w:line="360" w:lineRule="auto"/>
        <w:rPr>
          <w:rFonts w:ascii="Arial" w:hAnsi="Arial" w:cs="Arial"/>
          <w:b/>
          <w:bCs/>
        </w:rPr>
      </w:pPr>
      <w:r w:rsidRPr="0029783D">
        <w:rPr>
          <w:rFonts w:ascii="Arial" w:hAnsi="Arial" w:cs="Arial"/>
          <w:b/>
          <w:bCs/>
        </w:rPr>
        <w:t>REPLY:</w:t>
      </w:r>
    </w:p>
    <w:p w:rsidR="00E83E3C" w:rsidRPr="0029783D" w:rsidRDefault="00E83E3C" w:rsidP="0029783D">
      <w:pPr>
        <w:spacing w:line="360" w:lineRule="auto"/>
        <w:contextualSpacing/>
        <w:jc w:val="both"/>
        <w:rPr>
          <w:rFonts w:ascii="Arial" w:hAnsi="Arial" w:cs="Arial"/>
          <w:b/>
          <w:bCs/>
        </w:rPr>
      </w:pPr>
    </w:p>
    <w:p w:rsidR="00727021" w:rsidRPr="0029783D" w:rsidRDefault="007C6B2B" w:rsidP="0029783D">
      <w:pPr>
        <w:spacing w:line="360" w:lineRule="auto"/>
        <w:jc w:val="both"/>
        <w:rPr>
          <w:rFonts w:ascii="Arial" w:hAnsi="Arial" w:cs="Arial"/>
        </w:rPr>
      </w:pPr>
      <w:r w:rsidRPr="0029783D">
        <w:rPr>
          <w:rFonts w:ascii="Arial" w:eastAsia="Arial" w:hAnsi="Arial" w:cs="Arial"/>
        </w:rPr>
        <w:t xml:space="preserve">The Eastern Cape Executive Council intervened in the affairs of </w:t>
      </w:r>
      <w:proofErr w:type="spellStart"/>
      <w:r w:rsidRPr="0029783D">
        <w:rPr>
          <w:rFonts w:ascii="Arial" w:eastAsia="Arial" w:hAnsi="Arial" w:cs="Arial"/>
        </w:rPr>
        <w:t>Amahlathi</w:t>
      </w:r>
      <w:proofErr w:type="spellEnd"/>
      <w:r w:rsidRPr="0029783D">
        <w:rPr>
          <w:rFonts w:ascii="Arial" w:eastAsia="Arial" w:hAnsi="Arial" w:cs="Arial"/>
        </w:rPr>
        <w:t xml:space="preserve"> LM in March 2019 in terms of section 139(1)(b) and (5) of the Constitution due to  financial crisis and failure by the municipality to provide basic services. The intervention was revoked in November 2019, and an Administrator’s close-out report indicated both progress and outstanding challenges remaining. The recommendations from the Administrator’s report was for the remaining challenges, post the revocation, must be dealt with by the province in providing support to the municipality in terms of section 154 of the Constitution, amongst others these challenges included finalising the municipal turnaround plan, strengthening revenue collection, reviewing organogram, and continuation of deepening public participation. To some extent the intervention yielded some positive results, electricity losses were addressed and there was improved state of governance.</w:t>
      </w:r>
    </w:p>
    <w:p w:rsidR="00727021" w:rsidRPr="0029783D" w:rsidRDefault="007C6B2B" w:rsidP="0029783D">
      <w:pPr>
        <w:spacing w:before="240" w:line="360" w:lineRule="auto"/>
        <w:jc w:val="both"/>
        <w:rPr>
          <w:rFonts w:ascii="Arial" w:hAnsi="Arial" w:cs="Arial"/>
        </w:rPr>
      </w:pPr>
      <w:r w:rsidRPr="0029783D">
        <w:rPr>
          <w:rFonts w:ascii="Arial" w:eastAsia="Arial" w:hAnsi="Arial" w:cs="Arial"/>
        </w:rPr>
        <w:lastRenderedPageBreak/>
        <w:t xml:space="preserve">In addition, based </w:t>
      </w:r>
      <w:r w:rsidR="007926BC">
        <w:rPr>
          <w:rFonts w:ascii="Arial" w:eastAsia="Arial" w:hAnsi="Arial" w:cs="Arial"/>
        </w:rPr>
        <w:t xml:space="preserve">on our </w:t>
      </w:r>
      <w:proofErr w:type="spellStart"/>
      <w:r w:rsidR="007926BC">
        <w:rPr>
          <w:rFonts w:ascii="Arial" w:eastAsia="Arial" w:hAnsi="Arial" w:cs="Arial"/>
        </w:rPr>
        <w:t>departemnt’s</w:t>
      </w:r>
      <w:proofErr w:type="spellEnd"/>
      <w:r w:rsidR="007926BC">
        <w:rPr>
          <w:rFonts w:ascii="Arial" w:eastAsia="Arial" w:hAnsi="Arial" w:cs="Arial"/>
        </w:rPr>
        <w:t xml:space="preserve"> own assessment of the State of Local Government</w:t>
      </w:r>
      <w:r w:rsidRPr="0029783D">
        <w:rPr>
          <w:rFonts w:ascii="Arial" w:eastAsia="Arial" w:hAnsi="Arial" w:cs="Arial"/>
        </w:rPr>
        <w:t xml:space="preserve">, </w:t>
      </w:r>
      <w:proofErr w:type="spellStart"/>
      <w:r w:rsidRPr="0029783D">
        <w:rPr>
          <w:rFonts w:ascii="Arial" w:eastAsia="Arial" w:hAnsi="Arial" w:cs="Arial"/>
        </w:rPr>
        <w:t>Amahlathi</w:t>
      </w:r>
      <w:proofErr w:type="spellEnd"/>
      <w:r w:rsidRPr="0029783D">
        <w:rPr>
          <w:rFonts w:ascii="Arial" w:eastAsia="Arial" w:hAnsi="Arial" w:cs="Arial"/>
        </w:rPr>
        <w:t xml:space="preserve"> LM was identified as dysfunctional. In bringing stability in this municipality, the Department developed Municipal Support and Interventions </w:t>
      </w:r>
      <w:proofErr w:type="gramStart"/>
      <w:r w:rsidRPr="0029783D">
        <w:rPr>
          <w:rFonts w:ascii="Arial" w:eastAsia="Arial" w:hAnsi="Arial" w:cs="Arial"/>
        </w:rPr>
        <w:t>Plan(</w:t>
      </w:r>
      <w:proofErr w:type="gramEnd"/>
      <w:r w:rsidRPr="0029783D">
        <w:rPr>
          <w:rFonts w:ascii="Arial" w:eastAsia="Arial" w:hAnsi="Arial" w:cs="Arial"/>
        </w:rPr>
        <w:t>MSIP) in collaboration with Department and National Treasury and other sector departments, focusing on four (4) key performance areas, namely: Governance, Administration/Institutional Capacity, financial management and Service Delivery/ Disaster Management.</w:t>
      </w:r>
    </w:p>
    <w:p w:rsidR="00727021" w:rsidRDefault="007C6B2B" w:rsidP="0029783D">
      <w:pPr>
        <w:spacing w:before="240" w:line="360" w:lineRule="auto"/>
        <w:jc w:val="both"/>
        <w:rPr>
          <w:rFonts w:ascii="Arial" w:eastAsia="Arial" w:hAnsi="Arial" w:cs="Arial"/>
        </w:rPr>
      </w:pPr>
      <w:proofErr w:type="spellStart"/>
      <w:r w:rsidRPr="0029783D">
        <w:rPr>
          <w:rFonts w:ascii="Arial" w:eastAsia="Arial" w:hAnsi="Arial" w:cs="Arial"/>
        </w:rPr>
        <w:t>Amahlati</w:t>
      </w:r>
      <w:proofErr w:type="spellEnd"/>
      <w:r w:rsidRPr="0029783D">
        <w:rPr>
          <w:rFonts w:ascii="Arial" w:eastAsia="Arial" w:hAnsi="Arial" w:cs="Arial"/>
        </w:rPr>
        <w:t xml:space="preserve"> LM was identified by National Treasury as amongst those municipalities requiring Section 154 support by national and provincial government. To that end, national and </w:t>
      </w:r>
      <w:r w:rsidR="00F901A5">
        <w:rPr>
          <w:rFonts w:ascii="Arial" w:eastAsia="Arial" w:hAnsi="Arial" w:cs="Arial"/>
        </w:rPr>
        <w:t>p</w:t>
      </w:r>
      <w:r w:rsidRPr="0029783D">
        <w:rPr>
          <w:rFonts w:ascii="Arial" w:eastAsia="Arial" w:hAnsi="Arial" w:cs="Arial"/>
        </w:rPr>
        <w:t>rov</w:t>
      </w:r>
      <w:r w:rsidR="00F901A5">
        <w:rPr>
          <w:rFonts w:ascii="Arial" w:eastAsia="Arial" w:hAnsi="Arial" w:cs="Arial"/>
        </w:rPr>
        <w:t>i</w:t>
      </w:r>
      <w:r w:rsidRPr="0029783D">
        <w:rPr>
          <w:rFonts w:ascii="Arial" w:eastAsia="Arial" w:hAnsi="Arial" w:cs="Arial"/>
        </w:rPr>
        <w:t>ncial government are providing support to the municipality.</w:t>
      </w:r>
    </w:p>
    <w:p w:rsidR="00EC6863" w:rsidRPr="0059714F" w:rsidRDefault="00EC6863" w:rsidP="0059714F">
      <w:pPr>
        <w:contextualSpacing/>
        <w:jc w:val="both"/>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D1" w:rsidRDefault="00AE68D1">
      <w:r>
        <w:separator/>
      </w:r>
    </w:p>
  </w:endnote>
  <w:endnote w:type="continuationSeparator" w:id="0">
    <w:p w:rsidR="00AE68D1" w:rsidRDefault="00AE6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D1" w:rsidRDefault="00AE68D1">
      <w:r>
        <w:separator/>
      </w:r>
    </w:p>
  </w:footnote>
  <w:footnote w:type="continuationSeparator" w:id="0">
    <w:p w:rsidR="00AE68D1" w:rsidRDefault="00AE6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611551">
    <w:pPr>
      <w:pStyle w:val="Header"/>
      <w:framePr w:wrap="around" w:vAnchor="text" w:hAnchor="margin" w:xAlign="center" w:y="1"/>
      <w:rPr>
        <w:rStyle w:val="PageNumber"/>
      </w:rPr>
    </w:pPr>
    <w:r>
      <w:rPr>
        <w:rStyle w:val="PageNumber"/>
      </w:rPr>
      <w:fldChar w:fldCharType="begin"/>
    </w:r>
    <w:r w:rsidR="007C6B2B">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99A1586">
      <w:start w:val="1"/>
      <w:numFmt w:val="decimal"/>
      <w:lvlText w:val="%1."/>
      <w:lvlJc w:val="left"/>
      <w:pPr>
        <w:ind w:left="360" w:hanging="360"/>
      </w:pPr>
      <w:rPr>
        <w:rFonts w:hint="default"/>
      </w:rPr>
    </w:lvl>
    <w:lvl w:ilvl="1" w:tplc="2900710C">
      <w:start w:val="1"/>
      <w:numFmt w:val="lowerLetter"/>
      <w:lvlText w:val="%2."/>
      <w:lvlJc w:val="left"/>
      <w:pPr>
        <w:ind w:left="1080" w:hanging="360"/>
      </w:pPr>
    </w:lvl>
    <w:lvl w:ilvl="2" w:tplc="41B8A3E8" w:tentative="1">
      <w:start w:val="1"/>
      <w:numFmt w:val="lowerRoman"/>
      <w:lvlText w:val="%3."/>
      <w:lvlJc w:val="right"/>
      <w:pPr>
        <w:ind w:left="1800" w:hanging="180"/>
      </w:pPr>
    </w:lvl>
    <w:lvl w:ilvl="3" w:tplc="A5B0CA5C" w:tentative="1">
      <w:start w:val="1"/>
      <w:numFmt w:val="decimal"/>
      <w:lvlText w:val="%4."/>
      <w:lvlJc w:val="left"/>
      <w:pPr>
        <w:ind w:left="2520" w:hanging="360"/>
      </w:pPr>
    </w:lvl>
    <w:lvl w:ilvl="4" w:tplc="DAD0056A" w:tentative="1">
      <w:start w:val="1"/>
      <w:numFmt w:val="lowerLetter"/>
      <w:lvlText w:val="%5."/>
      <w:lvlJc w:val="left"/>
      <w:pPr>
        <w:ind w:left="3240" w:hanging="360"/>
      </w:pPr>
    </w:lvl>
    <w:lvl w:ilvl="5" w:tplc="F168B4A0" w:tentative="1">
      <w:start w:val="1"/>
      <w:numFmt w:val="lowerRoman"/>
      <w:lvlText w:val="%6."/>
      <w:lvlJc w:val="right"/>
      <w:pPr>
        <w:ind w:left="3960" w:hanging="180"/>
      </w:pPr>
    </w:lvl>
    <w:lvl w:ilvl="6" w:tplc="CE32F680" w:tentative="1">
      <w:start w:val="1"/>
      <w:numFmt w:val="decimal"/>
      <w:lvlText w:val="%7."/>
      <w:lvlJc w:val="left"/>
      <w:pPr>
        <w:ind w:left="4680" w:hanging="360"/>
      </w:pPr>
    </w:lvl>
    <w:lvl w:ilvl="7" w:tplc="25C6A4F2" w:tentative="1">
      <w:start w:val="1"/>
      <w:numFmt w:val="lowerLetter"/>
      <w:lvlText w:val="%8."/>
      <w:lvlJc w:val="left"/>
      <w:pPr>
        <w:ind w:left="5400" w:hanging="360"/>
      </w:pPr>
    </w:lvl>
    <w:lvl w:ilvl="8" w:tplc="4678C880" w:tentative="1">
      <w:start w:val="1"/>
      <w:numFmt w:val="lowerRoman"/>
      <w:lvlText w:val="%9."/>
      <w:lvlJc w:val="right"/>
      <w:pPr>
        <w:ind w:left="6120" w:hanging="180"/>
      </w:pPr>
    </w:lvl>
  </w:abstractNum>
  <w:abstractNum w:abstractNumId="1">
    <w:nsid w:val="310079B0"/>
    <w:multiLevelType w:val="hybridMultilevel"/>
    <w:tmpl w:val="681C8B3C"/>
    <w:lvl w:ilvl="0" w:tplc="5776B2C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2A41254">
      <w:start w:val="1"/>
      <w:numFmt w:val="lowerLetter"/>
      <w:lvlText w:val="%2."/>
      <w:lvlJc w:val="left"/>
      <w:pPr>
        <w:ind w:left="1222" w:hanging="360"/>
      </w:pPr>
    </w:lvl>
    <w:lvl w:ilvl="2" w:tplc="611601E8">
      <w:start w:val="1"/>
      <w:numFmt w:val="lowerRoman"/>
      <w:lvlText w:val="%3."/>
      <w:lvlJc w:val="right"/>
      <w:pPr>
        <w:ind w:left="1942" w:hanging="180"/>
      </w:pPr>
    </w:lvl>
    <w:lvl w:ilvl="3" w:tplc="62FA7806">
      <w:start w:val="1"/>
      <w:numFmt w:val="decimal"/>
      <w:lvlText w:val="%4."/>
      <w:lvlJc w:val="left"/>
      <w:pPr>
        <w:ind w:left="2662" w:hanging="360"/>
      </w:pPr>
    </w:lvl>
    <w:lvl w:ilvl="4" w:tplc="EE4A20C0">
      <w:start w:val="1"/>
      <w:numFmt w:val="lowerLetter"/>
      <w:lvlText w:val="%5."/>
      <w:lvlJc w:val="left"/>
      <w:pPr>
        <w:ind w:left="3382" w:hanging="360"/>
      </w:pPr>
    </w:lvl>
    <w:lvl w:ilvl="5" w:tplc="CFAED694">
      <w:start w:val="1"/>
      <w:numFmt w:val="lowerRoman"/>
      <w:lvlText w:val="%6."/>
      <w:lvlJc w:val="right"/>
      <w:pPr>
        <w:ind w:left="4102" w:hanging="180"/>
      </w:pPr>
    </w:lvl>
    <w:lvl w:ilvl="6" w:tplc="87D8DC78">
      <w:start w:val="1"/>
      <w:numFmt w:val="decimal"/>
      <w:lvlText w:val="%7."/>
      <w:lvlJc w:val="left"/>
      <w:pPr>
        <w:ind w:left="4822" w:hanging="360"/>
      </w:pPr>
    </w:lvl>
    <w:lvl w:ilvl="7" w:tplc="969EAEEA">
      <w:start w:val="1"/>
      <w:numFmt w:val="lowerLetter"/>
      <w:lvlText w:val="%8."/>
      <w:lvlJc w:val="left"/>
      <w:pPr>
        <w:ind w:left="5542" w:hanging="360"/>
      </w:pPr>
    </w:lvl>
    <w:lvl w:ilvl="8" w:tplc="B9C67F68">
      <w:start w:val="1"/>
      <w:numFmt w:val="lowerRoman"/>
      <w:lvlText w:val="%9."/>
      <w:lvlJc w:val="right"/>
      <w:pPr>
        <w:ind w:left="6262" w:hanging="180"/>
      </w:pPr>
    </w:lvl>
  </w:abstractNum>
  <w:abstractNum w:abstractNumId="2">
    <w:nsid w:val="4AE73CEA"/>
    <w:multiLevelType w:val="hybridMultilevel"/>
    <w:tmpl w:val="4D74F046"/>
    <w:lvl w:ilvl="0" w:tplc="04CEAC98">
      <w:start w:val="1"/>
      <w:numFmt w:val="bullet"/>
      <w:lvlText w:val=""/>
      <w:lvlJc w:val="left"/>
      <w:pPr>
        <w:ind w:left="720" w:hanging="360"/>
      </w:pPr>
      <w:rPr>
        <w:rFonts w:ascii="Symbol" w:hAnsi="Symbol" w:hint="default"/>
      </w:rPr>
    </w:lvl>
    <w:lvl w:ilvl="1" w:tplc="DFAEDB94" w:tentative="1">
      <w:start w:val="1"/>
      <w:numFmt w:val="bullet"/>
      <w:lvlText w:val="o"/>
      <w:lvlJc w:val="left"/>
      <w:pPr>
        <w:ind w:left="1440" w:hanging="360"/>
      </w:pPr>
      <w:rPr>
        <w:rFonts w:ascii="Courier New" w:hAnsi="Courier New" w:cs="Courier New" w:hint="default"/>
      </w:rPr>
    </w:lvl>
    <w:lvl w:ilvl="2" w:tplc="4858C896" w:tentative="1">
      <w:start w:val="1"/>
      <w:numFmt w:val="bullet"/>
      <w:lvlText w:val=""/>
      <w:lvlJc w:val="left"/>
      <w:pPr>
        <w:ind w:left="2160" w:hanging="360"/>
      </w:pPr>
      <w:rPr>
        <w:rFonts w:ascii="Wingdings" w:hAnsi="Wingdings" w:hint="default"/>
      </w:rPr>
    </w:lvl>
    <w:lvl w:ilvl="3" w:tplc="D9A05258" w:tentative="1">
      <w:start w:val="1"/>
      <w:numFmt w:val="bullet"/>
      <w:lvlText w:val=""/>
      <w:lvlJc w:val="left"/>
      <w:pPr>
        <w:ind w:left="2880" w:hanging="360"/>
      </w:pPr>
      <w:rPr>
        <w:rFonts w:ascii="Symbol" w:hAnsi="Symbol" w:hint="default"/>
      </w:rPr>
    </w:lvl>
    <w:lvl w:ilvl="4" w:tplc="7A0CBFCC" w:tentative="1">
      <w:start w:val="1"/>
      <w:numFmt w:val="bullet"/>
      <w:lvlText w:val="o"/>
      <w:lvlJc w:val="left"/>
      <w:pPr>
        <w:ind w:left="3600" w:hanging="360"/>
      </w:pPr>
      <w:rPr>
        <w:rFonts w:ascii="Courier New" w:hAnsi="Courier New" w:cs="Courier New" w:hint="default"/>
      </w:rPr>
    </w:lvl>
    <w:lvl w:ilvl="5" w:tplc="77D0018A" w:tentative="1">
      <w:start w:val="1"/>
      <w:numFmt w:val="bullet"/>
      <w:lvlText w:val=""/>
      <w:lvlJc w:val="left"/>
      <w:pPr>
        <w:ind w:left="4320" w:hanging="360"/>
      </w:pPr>
      <w:rPr>
        <w:rFonts w:ascii="Wingdings" w:hAnsi="Wingdings" w:hint="default"/>
      </w:rPr>
    </w:lvl>
    <w:lvl w:ilvl="6" w:tplc="8AD6DF42" w:tentative="1">
      <w:start w:val="1"/>
      <w:numFmt w:val="bullet"/>
      <w:lvlText w:val=""/>
      <w:lvlJc w:val="left"/>
      <w:pPr>
        <w:ind w:left="5040" w:hanging="360"/>
      </w:pPr>
      <w:rPr>
        <w:rFonts w:ascii="Symbol" w:hAnsi="Symbol" w:hint="default"/>
      </w:rPr>
    </w:lvl>
    <w:lvl w:ilvl="7" w:tplc="72F81FE0" w:tentative="1">
      <w:start w:val="1"/>
      <w:numFmt w:val="bullet"/>
      <w:lvlText w:val="o"/>
      <w:lvlJc w:val="left"/>
      <w:pPr>
        <w:ind w:left="5760" w:hanging="360"/>
      </w:pPr>
      <w:rPr>
        <w:rFonts w:ascii="Courier New" w:hAnsi="Courier New" w:cs="Courier New" w:hint="default"/>
      </w:rPr>
    </w:lvl>
    <w:lvl w:ilvl="8" w:tplc="2E60671C"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B8B"/>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4D4"/>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585"/>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9783D"/>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5A61"/>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551"/>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021"/>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38F7"/>
    <w:rsid w:val="00784DE4"/>
    <w:rsid w:val="007852A9"/>
    <w:rsid w:val="00786566"/>
    <w:rsid w:val="00786B0B"/>
    <w:rsid w:val="00790D65"/>
    <w:rsid w:val="007915C6"/>
    <w:rsid w:val="00791F3E"/>
    <w:rsid w:val="007922C7"/>
    <w:rsid w:val="007926BC"/>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2B"/>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8D1"/>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82E"/>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96FB6"/>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01A5"/>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5F501C02-D467-4A76-A6B1-E7072BD8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2022-03-31T13:48:00Z</dcterms:created>
  <dcterms:modified xsi:type="dcterms:W3CDTF">2022-03-31T13:48:00Z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