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2A1D" w:rsidRPr="004054C3" w:rsidRDefault="00642A1D" w:rsidP="00642A1D">
      <w:pPr>
        <w:tabs>
          <w:tab w:val="left" w:pos="432"/>
          <w:tab w:val="left" w:pos="864"/>
        </w:tabs>
        <w:spacing w:line="276" w:lineRule="auto"/>
        <w:jc w:val="center"/>
        <w:rPr>
          <w:rFonts w:ascii="Arial" w:hAnsi="Arial" w:cs="Arial"/>
          <w:b/>
          <w:sz w:val="22"/>
          <w:szCs w:val="22"/>
          <w:lang w:val="en-US"/>
        </w:rPr>
      </w:pPr>
      <w:r w:rsidRPr="004054C3">
        <w:rPr>
          <w:rFonts w:ascii="Arial" w:hAnsi="Arial" w:cs="Arial"/>
          <w:b/>
          <w:noProof/>
          <w:sz w:val="22"/>
          <w:szCs w:val="22"/>
          <w:lang w:val="en-US"/>
        </w:rPr>
        <w:drawing>
          <wp:inline distT="0" distB="0" distL="0" distR="0" wp14:anchorId="1AF544AF" wp14:editId="4E58B20F">
            <wp:extent cx="1390015" cy="1469390"/>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90015" cy="1469390"/>
                    </a:xfrm>
                    <a:prstGeom prst="rect">
                      <a:avLst/>
                    </a:prstGeom>
                    <a:noFill/>
                  </pic:spPr>
                </pic:pic>
              </a:graphicData>
            </a:graphic>
          </wp:inline>
        </w:drawing>
      </w:r>
    </w:p>
    <w:p w:rsidR="00642A1D" w:rsidRPr="004054C3" w:rsidRDefault="00642A1D" w:rsidP="00642A1D">
      <w:pPr>
        <w:tabs>
          <w:tab w:val="left" w:pos="432"/>
          <w:tab w:val="left" w:pos="864"/>
        </w:tabs>
        <w:spacing w:line="276" w:lineRule="auto"/>
        <w:jc w:val="center"/>
        <w:rPr>
          <w:rFonts w:ascii="Arial" w:hAnsi="Arial" w:cs="Arial"/>
          <w:b/>
          <w:sz w:val="22"/>
          <w:szCs w:val="22"/>
          <w:lang w:val="en-US"/>
        </w:rPr>
      </w:pPr>
    </w:p>
    <w:p w:rsidR="00642A1D" w:rsidRPr="004054C3" w:rsidRDefault="00642A1D" w:rsidP="00642A1D">
      <w:pPr>
        <w:tabs>
          <w:tab w:val="left" w:pos="432"/>
          <w:tab w:val="left" w:pos="864"/>
        </w:tabs>
        <w:spacing w:line="276" w:lineRule="auto"/>
        <w:jc w:val="center"/>
        <w:rPr>
          <w:rFonts w:ascii="Arial" w:hAnsi="Arial" w:cs="Arial"/>
          <w:b/>
          <w:sz w:val="22"/>
          <w:szCs w:val="22"/>
          <w:lang w:val="en-US"/>
        </w:rPr>
      </w:pPr>
      <w:r w:rsidRPr="004054C3">
        <w:rPr>
          <w:rFonts w:ascii="Arial" w:hAnsi="Arial" w:cs="Arial"/>
          <w:b/>
          <w:sz w:val="22"/>
          <w:szCs w:val="22"/>
          <w:lang w:val="en-US"/>
        </w:rPr>
        <w:t>NATIONAL ASSEMBLY</w:t>
      </w:r>
    </w:p>
    <w:p w:rsidR="00642A1D" w:rsidRPr="00BF4193" w:rsidRDefault="00642A1D" w:rsidP="00642A1D">
      <w:pPr>
        <w:tabs>
          <w:tab w:val="left" w:pos="432"/>
          <w:tab w:val="left" w:pos="864"/>
        </w:tabs>
        <w:spacing w:line="276" w:lineRule="auto"/>
        <w:jc w:val="center"/>
        <w:rPr>
          <w:rFonts w:ascii="Arial" w:hAnsi="Arial" w:cs="Arial"/>
          <w:b/>
          <w:lang w:val="en-US"/>
        </w:rPr>
      </w:pPr>
    </w:p>
    <w:p w:rsidR="00642A1D" w:rsidRPr="00BF4193" w:rsidRDefault="00642A1D" w:rsidP="00642A1D">
      <w:pPr>
        <w:tabs>
          <w:tab w:val="left" w:pos="432"/>
          <w:tab w:val="left" w:pos="864"/>
        </w:tabs>
        <w:spacing w:line="276" w:lineRule="auto"/>
        <w:rPr>
          <w:rFonts w:ascii="Arial" w:hAnsi="Arial" w:cs="Arial"/>
          <w:b/>
          <w:lang w:val="en-US"/>
        </w:rPr>
      </w:pPr>
      <w:r w:rsidRPr="00BF4193">
        <w:rPr>
          <w:rFonts w:ascii="Arial" w:hAnsi="Arial" w:cs="Arial"/>
          <w:b/>
          <w:lang w:val="en-US"/>
        </w:rPr>
        <w:t>QUESTION FOR WRITTEN REPLY</w:t>
      </w:r>
    </w:p>
    <w:p w:rsidR="00642A1D" w:rsidRPr="00BF4193" w:rsidRDefault="00642A1D" w:rsidP="00062DD5">
      <w:pPr>
        <w:spacing w:before="100" w:beforeAutospacing="1" w:after="100" w:afterAutospacing="1"/>
        <w:jc w:val="both"/>
        <w:rPr>
          <w:rFonts w:ascii="Arial" w:hAnsi="Arial" w:cs="Arial"/>
        </w:rPr>
      </w:pPr>
      <w:r w:rsidRPr="00BF4193">
        <w:rPr>
          <w:rFonts w:ascii="Arial" w:hAnsi="Arial" w:cs="Arial"/>
          <w:b/>
          <w:lang w:val="en-US"/>
        </w:rPr>
        <w:t xml:space="preserve">QUESTION NUMBER: </w:t>
      </w:r>
      <w:r w:rsidR="00E71AA2" w:rsidRPr="00BF4193">
        <w:rPr>
          <w:rFonts w:ascii="Arial" w:hAnsi="Arial" w:cs="Arial"/>
          <w:b/>
        </w:rPr>
        <w:t>262</w:t>
      </w:r>
      <w:r w:rsidR="0021147E" w:rsidRPr="00BF4193">
        <w:rPr>
          <w:rFonts w:ascii="Arial" w:hAnsi="Arial" w:cs="Arial"/>
          <w:b/>
        </w:rPr>
        <w:t>4</w:t>
      </w:r>
      <w:r w:rsidR="006042E4" w:rsidRPr="00BF4193">
        <w:rPr>
          <w:rFonts w:ascii="Arial" w:hAnsi="Arial" w:cs="Arial"/>
          <w:b/>
          <w:lang w:val="en-US"/>
        </w:rPr>
        <w:t xml:space="preserve"> </w:t>
      </w:r>
      <w:r w:rsidRPr="00BF4193">
        <w:rPr>
          <w:rFonts w:ascii="Arial" w:hAnsi="Arial" w:cs="Arial"/>
          <w:b/>
          <w:lang w:val="en-US"/>
        </w:rPr>
        <w:t>[</w:t>
      </w:r>
      <w:r w:rsidR="0021147E" w:rsidRPr="00BF4193">
        <w:rPr>
          <w:rFonts w:ascii="Arial" w:hAnsi="Arial" w:cs="Arial"/>
          <w:noProof/>
          <w:lang w:val="af-ZA"/>
        </w:rPr>
        <w:t>NW2929E</w:t>
      </w:r>
      <w:r w:rsidRPr="00BF4193">
        <w:rPr>
          <w:rFonts w:ascii="Arial" w:hAnsi="Arial" w:cs="Arial"/>
          <w:b/>
          <w:lang w:val="en-US"/>
        </w:rPr>
        <w:t>]</w:t>
      </w:r>
    </w:p>
    <w:p w:rsidR="00642A1D" w:rsidRPr="00BF4193" w:rsidRDefault="00642A1D" w:rsidP="00642A1D">
      <w:pPr>
        <w:tabs>
          <w:tab w:val="left" w:pos="432"/>
          <w:tab w:val="left" w:pos="864"/>
        </w:tabs>
        <w:spacing w:line="276" w:lineRule="auto"/>
        <w:rPr>
          <w:rFonts w:ascii="Arial" w:hAnsi="Arial" w:cs="Arial"/>
          <w:b/>
          <w:lang w:val="en-US"/>
        </w:rPr>
      </w:pPr>
      <w:r w:rsidRPr="00BF4193">
        <w:rPr>
          <w:rFonts w:ascii="Arial" w:hAnsi="Arial" w:cs="Arial"/>
          <w:b/>
          <w:lang w:val="en-US"/>
        </w:rPr>
        <w:t xml:space="preserve">DATE OF PUBLICATION: </w:t>
      </w:r>
      <w:r w:rsidR="00C71D82" w:rsidRPr="00BF4193">
        <w:rPr>
          <w:rFonts w:ascii="Arial" w:hAnsi="Arial" w:cs="Arial"/>
          <w:b/>
          <w:sz w:val="22"/>
          <w:szCs w:val="22"/>
          <w:lang w:val="en-US"/>
        </w:rPr>
        <w:t>01 September 2017</w:t>
      </w:r>
    </w:p>
    <w:p w:rsidR="007E1245" w:rsidRPr="00BF4193" w:rsidRDefault="007E1245" w:rsidP="00642A1D">
      <w:pPr>
        <w:tabs>
          <w:tab w:val="left" w:pos="432"/>
          <w:tab w:val="left" w:pos="864"/>
        </w:tabs>
        <w:spacing w:line="276" w:lineRule="auto"/>
        <w:rPr>
          <w:rFonts w:ascii="Arial" w:hAnsi="Arial" w:cs="Arial"/>
          <w:b/>
          <w:lang w:val="en-US"/>
        </w:rPr>
      </w:pPr>
    </w:p>
    <w:p w:rsidR="0021147E" w:rsidRPr="0021147E" w:rsidRDefault="0021147E" w:rsidP="0021147E">
      <w:pPr>
        <w:spacing w:before="100" w:beforeAutospacing="1" w:after="100" w:afterAutospacing="1"/>
        <w:ind w:left="851" w:hanging="851"/>
        <w:rPr>
          <w:rFonts w:ascii="Arial" w:hAnsi="Arial" w:cs="Arial"/>
          <w:b/>
        </w:rPr>
      </w:pPr>
      <w:r w:rsidRPr="0021147E">
        <w:rPr>
          <w:rFonts w:ascii="Arial" w:hAnsi="Arial" w:cs="Arial"/>
          <w:b/>
        </w:rPr>
        <w:t>2624.</w:t>
      </w:r>
      <w:r w:rsidRPr="0021147E">
        <w:rPr>
          <w:rFonts w:ascii="Arial" w:hAnsi="Arial" w:cs="Arial"/>
          <w:b/>
        </w:rPr>
        <w:tab/>
        <w:t xml:space="preserve">Mr D J </w:t>
      </w:r>
      <w:proofErr w:type="spellStart"/>
      <w:r w:rsidRPr="0021147E">
        <w:rPr>
          <w:rFonts w:ascii="Arial" w:hAnsi="Arial" w:cs="Arial"/>
          <w:b/>
        </w:rPr>
        <w:t>Maynier</w:t>
      </w:r>
      <w:proofErr w:type="spellEnd"/>
      <w:r w:rsidRPr="0021147E">
        <w:rPr>
          <w:rFonts w:ascii="Arial" w:hAnsi="Arial" w:cs="Arial"/>
          <w:b/>
        </w:rPr>
        <w:t xml:space="preserve"> (DA) to ask the Minister of Finance:</w:t>
      </w:r>
    </w:p>
    <w:p w:rsidR="00BF4193" w:rsidRDefault="0021147E" w:rsidP="008E1486">
      <w:pPr>
        <w:spacing w:before="100" w:beforeAutospacing="1" w:after="100" w:afterAutospacing="1"/>
        <w:ind w:left="851"/>
        <w:jc w:val="both"/>
        <w:rPr>
          <w:rFonts w:ascii="Arial" w:hAnsi="Arial" w:cs="Arial"/>
        </w:rPr>
      </w:pPr>
      <w:r w:rsidRPr="0021147E">
        <w:rPr>
          <w:rFonts w:ascii="Arial" w:hAnsi="Arial" w:cs="Arial"/>
        </w:rPr>
        <w:t>Whether there were any requests for deviations from the mandatory cost containment measures announced by the National Treasury (a) in the 2016-17 financial year and (b) since 1 April 2017; if not, what is the National Treasury’s policy position with regard to requests for deviations in the specified financial year and period; if so, (i) what is the name of the department, constitutional entity and/or public entity that made a request for a deviation, (ii) when was each deviation (aa) requested and (bb) approved and/or denied, (iii) what was the nature of each specified deviation requested, (iv) what was the motivation for requesting each deviation and (v) why was the specified deviation request approved and/or denied in each case?</w:t>
      </w:r>
      <w:r w:rsidRPr="0021147E">
        <w:rPr>
          <w:rFonts w:ascii="Arial" w:hAnsi="Arial" w:cs="Arial"/>
        </w:rPr>
        <w:tab/>
      </w:r>
    </w:p>
    <w:p w:rsidR="0021147E" w:rsidRDefault="0021147E" w:rsidP="00BF4193">
      <w:pPr>
        <w:spacing w:before="100" w:beforeAutospacing="1" w:after="100" w:afterAutospacing="1"/>
        <w:ind w:left="851"/>
        <w:jc w:val="right"/>
        <w:rPr>
          <w:rFonts w:ascii="Arial" w:hAnsi="Arial" w:cs="Arial"/>
          <w:noProof/>
          <w:lang w:val="af-ZA"/>
        </w:rPr>
      </w:pPr>
      <w:r w:rsidRPr="0021147E">
        <w:rPr>
          <w:rFonts w:ascii="Arial" w:hAnsi="Arial" w:cs="Arial"/>
          <w:noProof/>
          <w:lang w:val="af-ZA"/>
        </w:rPr>
        <w:t>NW2929E</w:t>
      </w:r>
    </w:p>
    <w:p w:rsidR="00DF125F" w:rsidRDefault="00DF125F" w:rsidP="0021147E">
      <w:pPr>
        <w:spacing w:before="100" w:beforeAutospacing="1" w:after="100" w:afterAutospacing="1"/>
        <w:ind w:left="851"/>
        <w:jc w:val="both"/>
        <w:rPr>
          <w:rFonts w:ascii="Arial" w:hAnsi="Arial" w:cs="Arial"/>
          <w:noProof/>
          <w:lang w:val="af-ZA"/>
        </w:rPr>
      </w:pPr>
    </w:p>
    <w:p w:rsidR="00BF4193" w:rsidRDefault="00BF4193" w:rsidP="0021147E">
      <w:pPr>
        <w:spacing w:before="100" w:beforeAutospacing="1" w:after="100" w:afterAutospacing="1"/>
        <w:ind w:left="851"/>
        <w:jc w:val="both"/>
        <w:rPr>
          <w:rFonts w:ascii="Arial" w:hAnsi="Arial" w:cs="Arial"/>
          <w:noProof/>
          <w:lang w:val="af-ZA"/>
        </w:rPr>
        <w:sectPr w:rsidR="00BF4193" w:rsidSect="00DC703C">
          <w:footerReference w:type="default" r:id="rId10"/>
          <w:footerReference w:type="first" r:id="rId11"/>
          <w:pgSz w:w="11909" w:h="16834" w:code="9"/>
          <w:pgMar w:top="1440" w:right="1440" w:bottom="1440" w:left="1440" w:header="720" w:footer="720" w:gutter="0"/>
          <w:cols w:space="720"/>
          <w:titlePg/>
          <w:docGrid w:linePitch="326"/>
        </w:sectPr>
      </w:pPr>
    </w:p>
    <w:p w:rsidR="00B34119" w:rsidRDefault="00BF4193" w:rsidP="006276BD">
      <w:pPr>
        <w:tabs>
          <w:tab w:val="left" w:pos="432"/>
          <w:tab w:val="left" w:pos="864"/>
        </w:tabs>
        <w:spacing w:line="276" w:lineRule="auto"/>
        <w:ind w:left="1440" w:hanging="1440"/>
        <w:jc w:val="both"/>
        <w:rPr>
          <w:rFonts w:ascii="Arial" w:hAnsi="Arial" w:cs="Arial"/>
          <w:b/>
          <w:sz w:val="22"/>
          <w:szCs w:val="22"/>
          <w:lang w:val="en-US"/>
        </w:rPr>
      </w:pPr>
      <w:r>
        <w:rPr>
          <w:rFonts w:ascii="Arial" w:hAnsi="Arial" w:cs="Arial"/>
          <w:b/>
          <w:sz w:val="22"/>
          <w:szCs w:val="22"/>
          <w:lang w:val="en-US"/>
        </w:rPr>
        <w:lastRenderedPageBreak/>
        <w:t>R</w:t>
      </w:r>
      <w:r w:rsidR="00642A1D" w:rsidRPr="004054C3">
        <w:rPr>
          <w:rFonts w:ascii="Arial" w:hAnsi="Arial" w:cs="Arial"/>
          <w:b/>
          <w:sz w:val="22"/>
          <w:szCs w:val="22"/>
          <w:lang w:val="en-US"/>
        </w:rPr>
        <w:t>EPLY:</w:t>
      </w:r>
      <w:r w:rsidR="006276BD">
        <w:rPr>
          <w:rFonts w:ascii="Arial" w:hAnsi="Arial" w:cs="Arial"/>
          <w:b/>
          <w:sz w:val="22"/>
          <w:szCs w:val="22"/>
          <w:lang w:val="en-US"/>
        </w:rPr>
        <w:t xml:space="preserve"> </w:t>
      </w:r>
    </w:p>
    <w:p w:rsidR="00B34119" w:rsidRPr="00BF4193" w:rsidRDefault="00B34119" w:rsidP="006276BD">
      <w:pPr>
        <w:tabs>
          <w:tab w:val="left" w:pos="432"/>
          <w:tab w:val="left" w:pos="864"/>
        </w:tabs>
        <w:spacing w:line="276" w:lineRule="auto"/>
        <w:ind w:left="1440" w:hanging="1440"/>
        <w:jc w:val="both"/>
        <w:rPr>
          <w:rFonts w:ascii="Arial" w:hAnsi="Arial" w:cs="Arial"/>
          <w:sz w:val="22"/>
          <w:szCs w:val="22"/>
          <w:lang w:val="en-US"/>
        </w:rPr>
      </w:pPr>
    </w:p>
    <w:p w:rsidR="00B34119" w:rsidRPr="00BF4193" w:rsidRDefault="0015676C" w:rsidP="00BF4193">
      <w:pPr>
        <w:pStyle w:val="ListParagraph"/>
        <w:numPr>
          <w:ilvl w:val="0"/>
          <w:numId w:val="29"/>
        </w:numPr>
        <w:tabs>
          <w:tab w:val="left" w:pos="432"/>
          <w:tab w:val="left" w:pos="864"/>
        </w:tabs>
        <w:spacing w:line="276" w:lineRule="auto"/>
        <w:jc w:val="both"/>
        <w:rPr>
          <w:rFonts w:ascii="Arial" w:hAnsi="Arial" w:cs="Arial"/>
          <w:sz w:val="22"/>
          <w:szCs w:val="22"/>
          <w:lang w:val="en-US"/>
        </w:rPr>
      </w:pPr>
      <w:r w:rsidRPr="00BF4193">
        <w:rPr>
          <w:rFonts w:ascii="Arial" w:hAnsi="Arial" w:cs="Arial"/>
          <w:sz w:val="22"/>
          <w:szCs w:val="22"/>
          <w:lang w:val="en-US"/>
        </w:rPr>
        <w:t>Yes</w:t>
      </w:r>
      <w:r w:rsidR="00757B99" w:rsidRPr="00BF4193">
        <w:rPr>
          <w:rFonts w:ascii="Arial" w:hAnsi="Arial" w:cs="Arial"/>
          <w:sz w:val="22"/>
          <w:szCs w:val="22"/>
          <w:lang w:val="en-US"/>
        </w:rPr>
        <w:t xml:space="preserve">, </w:t>
      </w:r>
      <w:r w:rsidR="001E4908">
        <w:rPr>
          <w:rFonts w:ascii="Arial" w:hAnsi="Arial" w:cs="Arial"/>
          <w:sz w:val="22"/>
          <w:szCs w:val="22"/>
          <w:lang w:val="en-US"/>
        </w:rPr>
        <w:t xml:space="preserve">the received deviations by the Office of the Chief Procurement Officer </w:t>
      </w:r>
      <w:r w:rsidRPr="00BF4193">
        <w:rPr>
          <w:rFonts w:ascii="Arial" w:hAnsi="Arial" w:cs="Arial"/>
          <w:sz w:val="22"/>
          <w:szCs w:val="22"/>
          <w:lang w:val="en-US"/>
        </w:rPr>
        <w:t xml:space="preserve">are </w:t>
      </w:r>
      <w:r w:rsidR="001E4908">
        <w:rPr>
          <w:rFonts w:ascii="Arial" w:hAnsi="Arial" w:cs="Arial"/>
          <w:sz w:val="22"/>
          <w:szCs w:val="22"/>
          <w:lang w:val="en-US"/>
        </w:rPr>
        <w:t xml:space="preserve">indicated in the table </w:t>
      </w:r>
      <w:r w:rsidRPr="00BF4193">
        <w:rPr>
          <w:rFonts w:ascii="Arial" w:hAnsi="Arial" w:cs="Arial"/>
          <w:sz w:val="22"/>
          <w:szCs w:val="22"/>
          <w:lang w:val="en-US"/>
        </w:rPr>
        <w:t>below</w:t>
      </w:r>
      <w:r w:rsidR="001E4908">
        <w:rPr>
          <w:rFonts w:ascii="Arial" w:hAnsi="Arial" w:cs="Arial"/>
          <w:sz w:val="22"/>
          <w:szCs w:val="22"/>
          <w:lang w:val="en-US"/>
        </w:rPr>
        <w:t>.</w:t>
      </w:r>
    </w:p>
    <w:p w:rsidR="00BF4193" w:rsidRPr="00BF4193" w:rsidRDefault="00BF4193" w:rsidP="00BF4193">
      <w:pPr>
        <w:pStyle w:val="ListParagraph"/>
        <w:tabs>
          <w:tab w:val="left" w:pos="432"/>
          <w:tab w:val="left" w:pos="864"/>
        </w:tabs>
        <w:spacing w:line="276" w:lineRule="auto"/>
        <w:ind w:left="360"/>
        <w:jc w:val="both"/>
        <w:rPr>
          <w:rFonts w:ascii="Arial" w:hAnsi="Arial" w:cs="Arial"/>
          <w:sz w:val="22"/>
          <w:szCs w:val="22"/>
          <w:lang w:val="en-US"/>
        </w:rPr>
      </w:pPr>
    </w:p>
    <w:p w:rsidR="00BF4193" w:rsidRPr="001E4908" w:rsidRDefault="00B34119" w:rsidP="00BE101E">
      <w:pPr>
        <w:pStyle w:val="ListParagraph"/>
        <w:numPr>
          <w:ilvl w:val="0"/>
          <w:numId w:val="29"/>
        </w:numPr>
        <w:tabs>
          <w:tab w:val="left" w:pos="432"/>
          <w:tab w:val="left" w:pos="864"/>
        </w:tabs>
        <w:spacing w:line="276" w:lineRule="auto"/>
        <w:jc w:val="both"/>
        <w:rPr>
          <w:rFonts w:ascii="Arial" w:hAnsi="Arial" w:cs="Arial"/>
          <w:sz w:val="22"/>
          <w:szCs w:val="22"/>
          <w:lang w:val="en-US"/>
        </w:rPr>
      </w:pPr>
      <w:r w:rsidRPr="001E4908">
        <w:rPr>
          <w:rFonts w:ascii="Arial" w:hAnsi="Arial" w:cs="Arial"/>
          <w:sz w:val="22"/>
          <w:szCs w:val="22"/>
          <w:lang w:val="en-US"/>
        </w:rPr>
        <w:t>Yes</w:t>
      </w:r>
      <w:r w:rsidR="00757B99" w:rsidRPr="001E4908">
        <w:rPr>
          <w:rFonts w:ascii="Arial" w:hAnsi="Arial" w:cs="Arial"/>
          <w:sz w:val="22"/>
          <w:szCs w:val="22"/>
          <w:lang w:val="en-US"/>
        </w:rPr>
        <w:t xml:space="preserve">, </w:t>
      </w:r>
      <w:r w:rsidR="001E4908">
        <w:rPr>
          <w:rFonts w:ascii="Arial" w:hAnsi="Arial" w:cs="Arial"/>
          <w:sz w:val="22"/>
          <w:szCs w:val="22"/>
          <w:lang w:val="en-US"/>
        </w:rPr>
        <w:t xml:space="preserve">the received deviations by the Office of the Chief Procurement Officer </w:t>
      </w:r>
      <w:r w:rsidR="001E4908" w:rsidRPr="00BF4193">
        <w:rPr>
          <w:rFonts w:ascii="Arial" w:hAnsi="Arial" w:cs="Arial"/>
          <w:sz w:val="22"/>
          <w:szCs w:val="22"/>
          <w:lang w:val="en-US"/>
        </w:rPr>
        <w:t>are</w:t>
      </w:r>
      <w:r w:rsidR="001E4908">
        <w:rPr>
          <w:rFonts w:ascii="Arial" w:hAnsi="Arial" w:cs="Arial"/>
          <w:sz w:val="22"/>
          <w:szCs w:val="22"/>
          <w:lang w:val="en-US"/>
        </w:rPr>
        <w:t xml:space="preserve"> indicated in the table </w:t>
      </w:r>
      <w:r w:rsidR="001E4908" w:rsidRPr="00BF4193">
        <w:rPr>
          <w:rFonts w:ascii="Arial" w:hAnsi="Arial" w:cs="Arial"/>
          <w:sz w:val="22"/>
          <w:szCs w:val="22"/>
          <w:lang w:val="en-US"/>
        </w:rPr>
        <w:t>below</w:t>
      </w:r>
      <w:r w:rsidR="001E4908">
        <w:rPr>
          <w:rFonts w:ascii="Arial" w:hAnsi="Arial" w:cs="Arial"/>
          <w:sz w:val="22"/>
          <w:szCs w:val="22"/>
          <w:lang w:val="en-US"/>
        </w:rPr>
        <w:t>.</w:t>
      </w:r>
    </w:p>
    <w:p w:rsidR="00BF4193" w:rsidRPr="00BF4193" w:rsidRDefault="00BF4193" w:rsidP="00BF4193">
      <w:pPr>
        <w:pStyle w:val="ListParagraph"/>
        <w:tabs>
          <w:tab w:val="left" w:pos="432"/>
          <w:tab w:val="left" w:pos="864"/>
        </w:tabs>
        <w:spacing w:line="276" w:lineRule="auto"/>
        <w:ind w:left="360"/>
        <w:jc w:val="both"/>
        <w:rPr>
          <w:rFonts w:ascii="Arial" w:hAnsi="Arial" w:cs="Arial"/>
          <w:sz w:val="22"/>
          <w:szCs w:val="22"/>
          <w:lang w:val="en-US"/>
        </w:rPr>
      </w:pPr>
    </w:p>
    <w:tbl>
      <w:tblPr>
        <w:tblStyle w:val="TableGrid"/>
        <w:tblW w:w="15083" w:type="dxa"/>
        <w:tblInd w:w="-593" w:type="dxa"/>
        <w:tblLayout w:type="fixed"/>
        <w:tblLook w:val="04A0" w:firstRow="1" w:lastRow="0" w:firstColumn="1" w:lastColumn="0" w:noHBand="0" w:noVBand="1"/>
      </w:tblPr>
      <w:tblGrid>
        <w:gridCol w:w="1799"/>
        <w:gridCol w:w="1962"/>
        <w:gridCol w:w="1890"/>
        <w:gridCol w:w="2444"/>
        <w:gridCol w:w="2851"/>
        <w:gridCol w:w="4137"/>
      </w:tblGrid>
      <w:tr w:rsidR="008E1486" w:rsidTr="00BF4193">
        <w:trPr>
          <w:trHeight w:val="303"/>
          <w:tblHeader/>
        </w:trPr>
        <w:tc>
          <w:tcPr>
            <w:tcW w:w="1799" w:type="dxa"/>
            <w:vMerge w:val="restart"/>
            <w:shd w:val="clear" w:color="auto" w:fill="F2F2F2" w:themeFill="background1" w:themeFillShade="F2"/>
            <w:vAlign w:val="center"/>
          </w:tcPr>
          <w:p w:rsidR="008E1486" w:rsidRPr="008E1486" w:rsidRDefault="008E1486" w:rsidP="00BF4193">
            <w:pPr>
              <w:pStyle w:val="ListParagraph"/>
              <w:numPr>
                <w:ilvl w:val="0"/>
                <w:numId w:val="23"/>
              </w:numPr>
              <w:tabs>
                <w:tab w:val="left" w:pos="432"/>
                <w:tab w:val="left" w:pos="720"/>
              </w:tabs>
              <w:spacing w:line="276" w:lineRule="auto"/>
              <w:ind w:left="450" w:hanging="450"/>
              <w:jc w:val="center"/>
              <w:rPr>
                <w:rFonts w:ascii="Arial" w:hAnsi="Arial" w:cs="Arial"/>
                <w:b/>
                <w:sz w:val="20"/>
                <w:szCs w:val="20"/>
                <w:lang w:val="en-US"/>
              </w:rPr>
            </w:pPr>
            <w:r w:rsidRPr="008E1486">
              <w:rPr>
                <w:rFonts w:ascii="Arial" w:hAnsi="Arial" w:cs="Arial"/>
                <w:b/>
                <w:sz w:val="20"/>
                <w:szCs w:val="20"/>
                <w:lang w:val="en-US"/>
              </w:rPr>
              <w:t>Name of Department</w:t>
            </w:r>
          </w:p>
        </w:tc>
        <w:tc>
          <w:tcPr>
            <w:tcW w:w="3852" w:type="dxa"/>
            <w:gridSpan w:val="2"/>
            <w:shd w:val="clear" w:color="auto" w:fill="F2F2F2" w:themeFill="background1" w:themeFillShade="F2"/>
            <w:vAlign w:val="center"/>
          </w:tcPr>
          <w:p w:rsidR="008E1486" w:rsidRPr="008E1486" w:rsidRDefault="008E1486" w:rsidP="00BF4193">
            <w:pPr>
              <w:tabs>
                <w:tab w:val="left" w:pos="432"/>
                <w:tab w:val="left" w:pos="720"/>
              </w:tabs>
              <w:spacing w:line="276" w:lineRule="auto"/>
              <w:jc w:val="center"/>
              <w:rPr>
                <w:rFonts w:ascii="Arial" w:hAnsi="Arial" w:cs="Arial"/>
                <w:b/>
                <w:sz w:val="20"/>
                <w:szCs w:val="20"/>
                <w:lang w:val="en-US"/>
              </w:rPr>
            </w:pPr>
            <w:r w:rsidRPr="008E1486">
              <w:rPr>
                <w:rFonts w:ascii="Arial" w:hAnsi="Arial" w:cs="Arial"/>
                <w:b/>
                <w:sz w:val="20"/>
                <w:szCs w:val="20"/>
                <w:lang w:val="en-US"/>
              </w:rPr>
              <w:t>(ii)</w:t>
            </w:r>
            <w:r w:rsidRPr="008E1486">
              <w:rPr>
                <w:rFonts w:ascii="Arial" w:hAnsi="Arial" w:cs="Arial"/>
                <w:b/>
                <w:sz w:val="20"/>
                <w:szCs w:val="20"/>
              </w:rPr>
              <w:t xml:space="preserve"> When was each deviation</w:t>
            </w:r>
          </w:p>
        </w:tc>
        <w:tc>
          <w:tcPr>
            <w:tcW w:w="2444" w:type="dxa"/>
            <w:vMerge w:val="restart"/>
            <w:shd w:val="clear" w:color="auto" w:fill="F2F2F2" w:themeFill="background1" w:themeFillShade="F2"/>
            <w:vAlign w:val="center"/>
          </w:tcPr>
          <w:p w:rsidR="008E1486" w:rsidRPr="008E1486" w:rsidRDefault="008E1486" w:rsidP="00BF4193">
            <w:pPr>
              <w:jc w:val="center"/>
              <w:rPr>
                <w:rFonts w:ascii="Arial" w:hAnsi="Arial" w:cs="Arial"/>
                <w:b/>
                <w:sz w:val="20"/>
                <w:szCs w:val="20"/>
                <w:lang w:val="en-US"/>
              </w:rPr>
            </w:pPr>
            <w:r w:rsidRPr="008E1486">
              <w:rPr>
                <w:rFonts w:ascii="Arial" w:hAnsi="Arial" w:cs="Arial"/>
                <w:b/>
                <w:sz w:val="20"/>
                <w:szCs w:val="20"/>
              </w:rPr>
              <w:t>(iii)The nature of each specified deviation requested</w:t>
            </w:r>
          </w:p>
        </w:tc>
        <w:tc>
          <w:tcPr>
            <w:tcW w:w="2851" w:type="dxa"/>
            <w:vMerge w:val="restart"/>
            <w:shd w:val="clear" w:color="auto" w:fill="F2F2F2" w:themeFill="background1" w:themeFillShade="F2"/>
            <w:vAlign w:val="center"/>
          </w:tcPr>
          <w:p w:rsidR="008E1486" w:rsidRPr="008E1486" w:rsidRDefault="008E1486" w:rsidP="00BF4193">
            <w:pPr>
              <w:tabs>
                <w:tab w:val="left" w:pos="432"/>
                <w:tab w:val="left" w:pos="720"/>
              </w:tabs>
              <w:spacing w:line="276" w:lineRule="auto"/>
              <w:jc w:val="center"/>
              <w:rPr>
                <w:rFonts w:ascii="Arial" w:hAnsi="Arial" w:cs="Arial"/>
                <w:b/>
                <w:sz w:val="20"/>
                <w:szCs w:val="20"/>
                <w:lang w:val="en-US"/>
              </w:rPr>
            </w:pPr>
            <w:r w:rsidRPr="008E1486">
              <w:rPr>
                <w:rFonts w:ascii="Arial" w:hAnsi="Arial" w:cs="Arial"/>
                <w:b/>
                <w:sz w:val="20"/>
                <w:szCs w:val="20"/>
              </w:rPr>
              <w:t>(iv) The motivation for requesting each deviation</w:t>
            </w:r>
          </w:p>
        </w:tc>
        <w:tc>
          <w:tcPr>
            <w:tcW w:w="4137" w:type="dxa"/>
            <w:vMerge w:val="restart"/>
            <w:shd w:val="clear" w:color="auto" w:fill="F2F2F2" w:themeFill="background1" w:themeFillShade="F2"/>
            <w:vAlign w:val="center"/>
          </w:tcPr>
          <w:p w:rsidR="008E1486" w:rsidRPr="008E1486" w:rsidRDefault="008E1486" w:rsidP="00BF4193">
            <w:pPr>
              <w:tabs>
                <w:tab w:val="left" w:pos="432"/>
                <w:tab w:val="left" w:pos="720"/>
              </w:tabs>
              <w:spacing w:line="276" w:lineRule="auto"/>
              <w:jc w:val="center"/>
              <w:rPr>
                <w:rFonts w:ascii="Arial" w:hAnsi="Arial" w:cs="Arial"/>
                <w:b/>
                <w:sz w:val="20"/>
                <w:szCs w:val="20"/>
              </w:rPr>
            </w:pPr>
            <w:r w:rsidRPr="008E1486">
              <w:rPr>
                <w:rFonts w:ascii="Arial" w:hAnsi="Arial" w:cs="Arial"/>
                <w:b/>
                <w:sz w:val="20"/>
                <w:szCs w:val="20"/>
              </w:rPr>
              <w:t>(v) Why was the specified deviation request approved and/or denied in each case</w:t>
            </w:r>
          </w:p>
        </w:tc>
      </w:tr>
      <w:tr w:rsidR="008E1486" w:rsidTr="00BF4193">
        <w:trPr>
          <w:trHeight w:val="278"/>
          <w:tblHeader/>
        </w:trPr>
        <w:tc>
          <w:tcPr>
            <w:tcW w:w="1799" w:type="dxa"/>
            <w:vMerge/>
          </w:tcPr>
          <w:p w:rsidR="008E1486" w:rsidRPr="00DF125F" w:rsidRDefault="008E1486" w:rsidP="00DF125F">
            <w:pPr>
              <w:pStyle w:val="ListParagraph"/>
              <w:numPr>
                <w:ilvl w:val="0"/>
                <w:numId w:val="23"/>
              </w:numPr>
              <w:tabs>
                <w:tab w:val="left" w:pos="432"/>
                <w:tab w:val="left" w:pos="720"/>
              </w:tabs>
              <w:spacing w:line="276" w:lineRule="auto"/>
              <w:ind w:left="450" w:hanging="450"/>
              <w:rPr>
                <w:rFonts w:ascii="Arial" w:hAnsi="Arial" w:cs="Arial"/>
                <w:b/>
                <w:sz w:val="20"/>
                <w:szCs w:val="20"/>
                <w:lang w:val="en-US"/>
              </w:rPr>
            </w:pPr>
          </w:p>
        </w:tc>
        <w:tc>
          <w:tcPr>
            <w:tcW w:w="1962" w:type="dxa"/>
            <w:shd w:val="clear" w:color="auto" w:fill="F2F2F2" w:themeFill="background1" w:themeFillShade="F2"/>
            <w:vAlign w:val="center"/>
          </w:tcPr>
          <w:p w:rsidR="008E1486" w:rsidRPr="00DF125F" w:rsidRDefault="008E1486" w:rsidP="00BF4193">
            <w:pPr>
              <w:tabs>
                <w:tab w:val="left" w:pos="432"/>
                <w:tab w:val="left" w:pos="720"/>
              </w:tabs>
              <w:spacing w:line="276" w:lineRule="auto"/>
              <w:jc w:val="center"/>
              <w:rPr>
                <w:rFonts w:ascii="Arial" w:hAnsi="Arial" w:cs="Arial"/>
                <w:b/>
                <w:sz w:val="20"/>
                <w:szCs w:val="20"/>
                <w:lang w:val="en-US"/>
              </w:rPr>
            </w:pPr>
            <w:r w:rsidRPr="00DF125F">
              <w:rPr>
                <w:rFonts w:ascii="Arial" w:hAnsi="Arial" w:cs="Arial"/>
                <w:b/>
                <w:sz w:val="20"/>
                <w:szCs w:val="20"/>
              </w:rPr>
              <w:t>(aa) Requested</w:t>
            </w:r>
          </w:p>
        </w:tc>
        <w:tc>
          <w:tcPr>
            <w:tcW w:w="1890" w:type="dxa"/>
            <w:shd w:val="clear" w:color="auto" w:fill="F2F2F2" w:themeFill="background1" w:themeFillShade="F2"/>
            <w:vAlign w:val="center"/>
          </w:tcPr>
          <w:p w:rsidR="008E1486" w:rsidRPr="00DF125F" w:rsidRDefault="008E1486" w:rsidP="00BF4193">
            <w:pPr>
              <w:tabs>
                <w:tab w:val="left" w:pos="432"/>
                <w:tab w:val="left" w:pos="720"/>
              </w:tabs>
              <w:spacing w:line="276" w:lineRule="auto"/>
              <w:ind w:left="432" w:hanging="432"/>
              <w:jc w:val="center"/>
              <w:rPr>
                <w:rFonts w:ascii="Arial" w:hAnsi="Arial" w:cs="Arial"/>
                <w:b/>
                <w:sz w:val="20"/>
                <w:szCs w:val="20"/>
                <w:lang w:val="en-US"/>
              </w:rPr>
            </w:pPr>
            <w:r>
              <w:rPr>
                <w:rFonts w:ascii="Arial" w:hAnsi="Arial" w:cs="Arial"/>
                <w:b/>
                <w:sz w:val="20"/>
                <w:szCs w:val="20"/>
              </w:rPr>
              <w:t xml:space="preserve">(bb) </w:t>
            </w:r>
            <w:r w:rsidRPr="00DF125F">
              <w:rPr>
                <w:rFonts w:ascii="Arial" w:hAnsi="Arial" w:cs="Arial"/>
                <w:b/>
                <w:sz w:val="20"/>
                <w:szCs w:val="20"/>
              </w:rPr>
              <w:t>Approved and/or denied</w:t>
            </w:r>
          </w:p>
        </w:tc>
        <w:tc>
          <w:tcPr>
            <w:tcW w:w="2444" w:type="dxa"/>
            <w:vMerge/>
          </w:tcPr>
          <w:p w:rsidR="008E1486" w:rsidRPr="00DF125F" w:rsidRDefault="008E1486" w:rsidP="00DF125F">
            <w:pPr>
              <w:tabs>
                <w:tab w:val="left" w:pos="432"/>
                <w:tab w:val="left" w:pos="720"/>
              </w:tabs>
              <w:spacing w:line="276" w:lineRule="auto"/>
              <w:jc w:val="both"/>
              <w:rPr>
                <w:rFonts w:ascii="Arial" w:hAnsi="Arial" w:cs="Arial"/>
                <w:sz w:val="20"/>
                <w:szCs w:val="20"/>
                <w:lang w:val="en-US"/>
              </w:rPr>
            </w:pPr>
          </w:p>
        </w:tc>
        <w:tc>
          <w:tcPr>
            <w:tcW w:w="2851" w:type="dxa"/>
            <w:vMerge/>
          </w:tcPr>
          <w:p w:rsidR="008E1486" w:rsidRPr="00DF125F" w:rsidRDefault="008E1486" w:rsidP="00DF125F">
            <w:pPr>
              <w:tabs>
                <w:tab w:val="left" w:pos="432"/>
                <w:tab w:val="left" w:pos="720"/>
              </w:tabs>
              <w:spacing w:line="276" w:lineRule="auto"/>
              <w:jc w:val="both"/>
              <w:rPr>
                <w:rFonts w:ascii="Arial" w:hAnsi="Arial" w:cs="Arial"/>
                <w:sz w:val="20"/>
                <w:szCs w:val="20"/>
                <w:lang w:val="en-US"/>
              </w:rPr>
            </w:pPr>
          </w:p>
        </w:tc>
        <w:tc>
          <w:tcPr>
            <w:tcW w:w="4137" w:type="dxa"/>
            <w:vMerge/>
          </w:tcPr>
          <w:p w:rsidR="008E1486" w:rsidRPr="00DF125F" w:rsidRDefault="008E1486" w:rsidP="00DF125F">
            <w:pPr>
              <w:tabs>
                <w:tab w:val="left" w:pos="432"/>
                <w:tab w:val="left" w:pos="720"/>
              </w:tabs>
              <w:spacing w:line="276" w:lineRule="auto"/>
              <w:jc w:val="both"/>
              <w:rPr>
                <w:rFonts w:ascii="Arial" w:hAnsi="Arial" w:cs="Arial"/>
                <w:sz w:val="20"/>
                <w:szCs w:val="20"/>
                <w:lang w:val="en-US"/>
              </w:rPr>
            </w:pPr>
          </w:p>
        </w:tc>
      </w:tr>
      <w:tr w:rsidR="008E1486" w:rsidTr="00757B99">
        <w:tc>
          <w:tcPr>
            <w:tcW w:w="1799" w:type="dxa"/>
            <w:shd w:val="clear" w:color="auto" w:fill="auto"/>
          </w:tcPr>
          <w:p w:rsidR="008E1486" w:rsidRPr="00BF4193" w:rsidRDefault="008E1486" w:rsidP="00BF4193">
            <w:pPr>
              <w:tabs>
                <w:tab w:val="left" w:pos="432"/>
              </w:tabs>
              <w:jc w:val="both"/>
              <w:rPr>
                <w:rFonts w:ascii="Arial" w:hAnsi="Arial" w:cs="Arial"/>
                <w:sz w:val="22"/>
                <w:szCs w:val="22"/>
                <w:lang w:val="en-US"/>
              </w:rPr>
            </w:pPr>
            <w:r w:rsidRPr="00BF4193">
              <w:rPr>
                <w:rFonts w:ascii="Arial" w:hAnsi="Arial" w:cs="Arial"/>
                <w:sz w:val="22"/>
                <w:szCs w:val="22"/>
                <w:lang w:val="en-US"/>
              </w:rPr>
              <w:t>Department of Military Veterans</w:t>
            </w:r>
          </w:p>
        </w:tc>
        <w:tc>
          <w:tcPr>
            <w:tcW w:w="1962" w:type="dxa"/>
            <w:shd w:val="clear" w:color="auto" w:fill="auto"/>
          </w:tcPr>
          <w:p w:rsidR="008E1486" w:rsidRPr="00BF4193" w:rsidRDefault="000A7617" w:rsidP="00BF4193">
            <w:pPr>
              <w:tabs>
                <w:tab w:val="left" w:pos="432"/>
                <w:tab w:val="left" w:pos="720"/>
              </w:tabs>
              <w:jc w:val="both"/>
              <w:rPr>
                <w:rFonts w:ascii="Arial" w:hAnsi="Arial" w:cs="Arial"/>
                <w:sz w:val="22"/>
                <w:szCs w:val="22"/>
                <w:lang w:val="en-US"/>
              </w:rPr>
            </w:pPr>
            <w:r w:rsidRPr="00BF4193">
              <w:rPr>
                <w:rFonts w:ascii="Arial" w:hAnsi="Arial" w:cs="Arial"/>
                <w:sz w:val="22"/>
                <w:szCs w:val="22"/>
                <w:lang w:val="en-US"/>
              </w:rPr>
              <w:t>19 June 2017</w:t>
            </w:r>
          </w:p>
        </w:tc>
        <w:tc>
          <w:tcPr>
            <w:tcW w:w="1890" w:type="dxa"/>
            <w:shd w:val="clear" w:color="auto" w:fill="auto"/>
          </w:tcPr>
          <w:p w:rsidR="008E1486" w:rsidRPr="00BF4193" w:rsidRDefault="00E819FA" w:rsidP="00BF4193">
            <w:pPr>
              <w:tabs>
                <w:tab w:val="left" w:pos="432"/>
                <w:tab w:val="left" w:pos="720"/>
              </w:tabs>
              <w:jc w:val="both"/>
              <w:rPr>
                <w:rFonts w:ascii="Arial" w:hAnsi="Arial" w:cs="Arial"/>
                <w:sz w:val="22"/>
                <w:szCs w:val="22"/>
                <w:lang w:val="en-US"/>
              </w:rPr>
            </w:pPr>
            <w:r w:rsidRPr="00BF4193">
              <w:rPr>
                <w:rFonts w:ascii="Arial" w:hAnsi="Arial" w:cs="Arial"/>
                <w:sz w:val="22"/>
                <w:szCs w:val="22"/>
              </w:rPr>
              <w:t>Approved</w:t>
            </w:r>
          </w:p>
        </w:tc>
        <w:tc>
          <w:tcPr>
            <w:tcW w:w="2444" w:type="dxa"/>
            <w:shd w:val="clear" w:color="auto" w:fill="auto"/>
          </w:tcPr>
          <w:p w:rsidR="00E819FA" w:rsidRPr="00BF4193" w:rsidRDefault="00E819FA" w:rsidP="00BF4193">
            <w:pPr>
              <w:jc w:val="both"/>
              <w:rPr>
                <w:rFonts w:ascii="Arial" w:hAnsi="Arial" w:cs="Arial"/>
                <w:sz w:val="22"/>
                <w:szCs w:val="22"/>
              </w:rPr>
            </w:pPr>
            <w:r w:rsidRPr="00BF4193">
              <w:rPr>
                <w:rFonts w:ascii="Arial" w:hAnsi="Arial" w:cs="Arial"/>
                <w:sz w:val="22"/>
                <w:szCs w:val="22"/>
              </w:rPr>
              <w:t>Business Class travel</w:t>
            </w:r>
          </w:p>
          <w:p w:rsidR="00E819FA" w:rsidRPr="00BF4193" w:rsidRDefault="00E819FA" w:rsidP="00BF4193">
            <w:pPr>
              <w:pStyle w:val="Default"/>
              <w:jc w:val="both"/>
              <w:rPr>
                <w:rFonts w:ascii="Arial" w:hAnsi="Arial" w:cs="Arial"/>
                <w:sz w:val="22"/>
                <w:szCs w:val="22"/>
              </w:rPr>
            </w:pPr>
          </w:p>
          <w:p w:rsidR="00E819FA" w:rsidRPr="00BF4193" w:rsidRDefault="00E819FA" w:rsidP="00BF4193">
            <w:pPr>
              <w:jc w:val="both"/>
              <w:rPr>
                <w:rFonts w:ascii="Arial" w:hAnsi="Arial" w:cs="Arial"/>
                <w:sz w:val="22"/>
                <w:szCs w:val="22"/>
              </w:rPr>
            </w:pPr>
            <w:r w:rsidRPr="00BF4193">
              <w:rPr>
                <w:rFonts w:ascii="Arial" w:hAnsi="Arial" w:cs="Arial"/>
                <w:sz w:val="22"/>
                <w:szCs w:val="22"/>
              </w:rPr>
              <w:t>Require guidance on travel provisions for members of the DMV’s Appeals Board and Advisory Council that are appointed in terms of sections 9 and 19 of the Military Veterans Act 18 of 2011 and not in terms of Section 12A of the Public Service Act of 1994 as was previously indicated.</w:t>
            </w:r>
          </w:p>
          <w:p w:rsidR="008E1486" w:rsidRPr="00BF4193" w:rsidRDefault="008E1486" w:rsidP="00BF4193">
            <w:pPr>
              <w:tabs>
                <w:tab w:val="left" w:pos="432"/>
                <w:tab w:val="left" w:pos="720"/>
              </w:tabs>
              <w:jc w:val="both"/>
              <w:rPr>
                <w:rFonts w:ascii="Arial" w:hAnsi="Arial" w:cs="Arial"/>
                <w:sz w:val="22"/>
                <w:szCs w:val="22"/>
                <w:lang w:val="en-US"/>
              </w:rPr>
            </w:pPr>
          </w:p>
        </w:tc>
        <w:tc>
          <w:tcPr>
            <w:tcW w:w="2851" w:type="dxa"/>
            <w:shd w:val="clear" w:color="auto" w:fill="auto"/>
          </w:tcPr>
          <w:p w:rsidR="00E819FA" w:rsidRPr="00BF4193" w:rsidRDefault="00E819FA" w:rsidP="00BF4193">
            <w:pPr>
              <w:pStyle w:val="ListParagraph"/>
              <w:numPr>
                <w:ilvl w:val="0"/>
                <w:numId w:val="26"/>
              </w:numPr>
              <w:ind w:left="432"/>
              <w:jc w:val="both"/>
              <w:rPr>
                <w:rFonts w:ascii="Arial" w:hAnsi="Arial" w:cs="Arial"/>
                <w:sz w:val="22"/>
                <w:szCs w:val="22"/>
              </w:rPr>
            </w:pPr>
            <w:r w:rsidRPr="00BF4193">
              <w:rPr>
                <w:rFonts w:ascii="Arial" w:hAnsi="Arial" w:cs="Arial"/>
                <w:sz w:val="22"/>
                <w:szCs w:val="22"/>
              </w:rPr>
              <w:t xml:space="preserve">An appeal Board and Advisory Council on Military Veterans </w:t>
            </w:r>
            <w:r w:rsidR="00BF4193">
              <w:rPr>
                <w:rFonts w:ascii="Arial" w:hAnsi="Arial" w:cs="Arial"/>
                <w:sz w:val="22"/>
                <w:szCs w:val="22"/>
              </w:rPr>
              <w:t>was</w:t>
            </w:r>
            <w:r w:rsidRPr="00BF4193">
              <w:rPr>
                <w:rFonts w:ascii="Arial" w:hAnsi="Arial" w:cs="Arial"/>
                <w:sz w:val="22"/>
                <w:szCs w:val="22"/>
              </w:rPr>
              <w:t xml:space="preserve"> established to attend to the interests of military veterans. The Advisory Council is responsible to the Minister.</w:t>
            </w:r>
          </w:p>
          <w:p w:rsidR="00E819FA" w:rsidRPr="00BF4193" w:rsidRDefault="00E819FA" w:rsidP="00BF4193">
            <w:pPr>
              <w:pStyle w:val="ListParagraph"/>
              <w:ind w:left="432"/>
              <w:jc w:val="both"/>
              <w:rPr>
                <w:rFonts w:ascii="Arial" w:hAnsi="Arial" w:cs="Arial"/>
                <w:sz w:val="22"/>
                <w:szCs w:val="22"/>
              </w:rPr>
            </w:pPr>
          </w:p>
          <w:p w:rsidR="008E1486" w:rsidRPr="00BF4193" w:rsidRDefault="00E819FA" w:rsidP="00BF4193">
            <w:pPr>
              <w:pStyle w:val="ListParagraph"/>
              <w:numPr>
                <w:ilvl w:val="0"/>
                <w:numId w:val="26"/>
              </w:numPr>
              <w:ind w:left="432"/>
              <w:jc w:val="both"/>
              <w:rPr>
                <w:rFonts w:ascii="Arial" w:hAnsi="Arial" w:cs="Arial"/>
                <w:sz w:val="22"/>
                <w:szCs w:val="22"/>
              </w:rPr>
            </w:pPr>
            <w:r w:rsidRPr="00BF4193">
              <w:rPr>
                <w:rFonts w:ascii="Arial" w:hAnsi="Arial" w:cs="Arial"/>
                <w:sz w:val="22"/>
                <w:szCs w:val="22"/>
              </w:rPr>
              <w:t>The department requested further clarity because they ini</w:t>
            </w:r>
            <w:r w:rsidR="00DC703C" w:rsidRPr="00BF4193">
              <w:rPr>
                <w:rFonts w:ascii="Arial" w:hAnsi="Arial" w:cs="Arial"/>
                <w:sz w:val="22"/>
                <w:szCs w:val="22"/>
              </w:rPr>
              <w:t>tially said the members of the Appeals Board and Advisory C</w:t>
            </w:r>
            <w:r w:rsidRPr="00BF4193">
              <w:rPr>
                <w:rFonts w:ascii="Arial" w:hAnsi="Arial" w:cs="Arial"/>
                <w:sz w:val="22"/>
                <w:szCs w:val="22"/>
              </w:rPr>
              <w:t>ouncil were appointed in terms of s12A of</w:t>
            </w:r>
            <w:r w:rsidR="00DC703C" w:rsidRPr="00BF4193">
              <w:rPr>
                <w:rFonts w:ascii="Arial" w:hAnsi="Arial" w:cs="Arial"/>
                <w:sz w:val="22"/>
                <w:szCs w:val="22"/>
              </w:rPr>
              <w:t xml:space="preserve"> the Public Service Act but lat</w:t>
            </w:r>
            <w:r w:rsidRPr="00BF4193">
              <w:rPr>
                <w:rFonts w:ascii="Arial" w:hAnsi="Arial" w:cs="Arial"/>
                <w:sz w:val="22"/>
                <w:szCs w:val="22"/>
              </w:rPr>
              <w:t>er realised that they were appointed in terms of the Military Veterans Act.</w:t>
            </w:r>
          </w:p>
        </w:tc>
        <w:tc>
          <w:tcPr>
            <w:tcW w:w="4137" w:type="dxa"/>
            <w:shd w:val="clear" w:color="auto" w:fill="auto"/>
          </w:tcPr>
          <w:p w:rsidR="00E819FA" w:rsidRPr="00BF4193" w:rsidRDefault="00E819FA" w:rsidP="00BF4193">
            <w:pPr>
              <w:pStyle w:val="Default"/>
              <w:numPr>
                <w:ilvl w:val="0"/>
                <w:numId w:val="26"/>
              </w:numPr>
              <w:ind w:left="342"/>
              <w:jc w:val="both"/>
              <w:rPr>
                <w:rFonts w:ascii="Arial" w:hAnsi="Arial" w:cs="Arial"/>
                <w:sz w:val="22"/>
                <w:szCs w:val="22"/>
              </w:rPr>
            </w:pPr>
            <w:r w:rsidRPr="00BF4193">
              <w:rPr>
                <w:rFonts w:ascii="Arial" w:hAnsi="Arial" w:cs="Arial"/>
                <w:sz w:val="22"/>
                <w:szCs w:val="22"/>
              </w:rPr>
              <w:t xml:space="preserve">The National Travel Policy Framework (National Treasury Instruction 02 of 2017/18) and the current cost containment instruction (NT Instruction 04 of 2017/18) applies to all </w:t>
            </w:r>
            <w:r w:rsidR="001E4908">
              <w:rPr>
                <w:rFonts w:ascii="Arial" w:hAnsi="Arial" w:cs="Arial"/>
                <w:b/>
                <w:bCs/>
                <w:sz w:val="22"/>
                <w:szCs w:val="22"/>
              </w:rPr>
              <w:t>tr</w:t>
            </w:r>
            <w:r w:rsidRPr="00BF4193">
              <w:rPr>
                <w:rFonts w:ascii="Arial" w:hAnsi="Arial" w:cs="Arial"/>
                <w:b/>
                <w:bCs/>
                <w:sz w:val="22"/>
                <w:szCs w:val="22"/>
              </w:rPr>
              <w:t xml:space="preserve">avellers </w:t>
            </w:r>
            <w:r w:rsidRPr="00BF4193">
              <w:rPr>
                <w:rFonts w:ascii="Arial" w:hAnsi="Arial" w:cs="Arial"/>
                <w:sz w:val="22"/>
                <w:szCs w:val="22"/>
              </w:rPr>
              <w:t xml:space="preserve">travelling on Official Business associated with performing the Institution’s functions in terms of their mandate and strategic, operational and performance plans. </w:t>
            </w:r>
          </w:p>
          <w:p w:rsidR="00E819FA" w:rsidRPr="00BF4193" w:rsidRDefault="00E819FA" w:rsidP="00BF4193">
            <w:pPr>
              <w:pStyle w:val="Default"/>
              <w:ind w:left="342"/>
              <w:jc w:val="both"/>
              <w:rPr>
                <w:rFonts w:ascii="Arial" w:hAnsi="Arial" w:cs="Arial"/>
                <w:sz w:val="22"/>
                <w:szCs w:val="22"/>
              </w:rPr>
            </w:pPr>
          </w:p>
          <w:p w:rsidR="00E819FA" w:rsidRPr="00BF4193" w:rsidRDefault="00E819FA" w:rsidP="00BF4193">
            <w:pPr>
              <w:pStyle w:val="Default"/>
              <w:numPr>
                <w:ilvl w:val="0"/>
                <w:numId w:val="26"/>
              </w:numPr>
              <w:ind w:left="342"/>
              <w:jc w:val="both"/>
              <w:rPr>
                <w:rFonts w:ascii="Arial" w:hAnsi="Arial" w:cs="Arial"/>
                <w:sz w:val="22"/>
                <w:szCs w:val="22"/>
              </w:rPr>
            </w:pPr>
            <w:r w:rsidRPr="00BF4193">
              <w:rPr>
                <w:rFonts w:ascii="Arial" w:hAnsi="Arial" w:cs="Arial"/>
                <w:sz w:val="22"/>
                <w:szCs w:val="22"/>
              </w:rPr>
              <w:t xml:space="preserve">The definition of a </w:t>
            </w:r>
            <w:r w:rsidRPr="00BF4193">
              <w:rPr>
                <w:rFonts w:ascii="Arial" w:hAnsi="Arial" w:cs="Arial"/>
                <w:b/>
                <w:bCs/>
                <w:sz w:val="22"/>
                <w:szCs w:val="22"/>
              </w:rPr>
              <w:t xml:space="preserve">Traveller </w:t>
            </w:r>
            <w:r w:rsidRPr="00BF4193">
              <w:rPr>
                <w:rFonts w:ascii="Arial" w:hAnsi="Arial" w:cs="Arial"/>
                <w:i/>
                <w:iCs/>
                <w:sz w:val="22"/>
                <w:szCs w:val="22"/>
              </w:rPr>
              <w:t xml:space="preserve">“is a person travelling at the behest of the Institution on Official Business. Institutions may include, but not limited to, other categories of employees, executives, other policy beneficiaries in line with applicable employment conditions, e.g. Institution bereavement, wellness and recruitment policies; Research collaboration support such as researchers, postgraduate students, </w:t>
            </w:r>
            <w:r w:rsidRPr="00BF4193">
              <w:rPr>
                <w:rFonts w:ascii="Arial" w:hAnsi="Arial" w:cs="Arial"/>
                <w:i/>
                <w:iCs/>
                <w:sz w:val="22"/>
                <w:szCs w:val="22"/>
              </w:rPr>
              <w:lastRenderedPageBreak/>
              <w:t xml:space="preserve">utilising shared research platforms, Non-executive members, appointed members of a Committee, appointed members of a Commission of Enquiry, persons appointed as advisors on grounds of policy considerations in terms of section 12A of the Public Service Act of 1994, interview candidates and other government employees where an employer-employee relationship exists as defined in the Labour Relations Act or similar, e.g. International Labour law (in the case of employees based in foreign countries) and other applicable legislation, invited guests, care attendants to a Traveller with a disability” </w:t>
            </w:r>
          </w:p>
          <w:p w:rsidR="00E819FA" w:rsidRPr="00BF4193" w:rsidRDefault="00E819FA" w:rsidP="00BF4193">
            <w:pPr>
              <w:pStyle w:val="Default"/>
              <w:ind w:left="342"/>
              <w:jc w:val="both"/>
              <w:rPr>
                <w:rFonts w:ascii="Arial" w:hAnsi="Arial" w:cs="Arial"/>
                <w:sz w:val="22"/>
                <w:szCs w:val="22"/>
              </w:rPr>
            </w:pPr>
          </w:p>
          <w:p w:rsidR="00E819FA" w:rsidRPr="00BF4193" w:rsidRDefault="00E819FA" w:rsidP="00BF4193">
            <w:pPr>
              <w:pStyle w:val="ListParagraph"/>
              <w:numPr>
                <w:ilvl w:val="0"/>
                <w:numId w:val="26"/>
              </w:numPr>
              <w:ind w:left="342" w:hanging="270"/>
              <w:jc w:val="both"/>
              <w:rPr>
                <w:rFonts w:ascii="Arial" w:hAnsi="Arial" w:cs="Arial"/>
                <w:sz w:val="22"/>
                <w:szCs w:val="22"/>
              </w:rPr>
            </w:pPr>
            <w:r w:rsidRPr="00BF4193">
              <w:rPr>
                <w:rFonts w:ascii="Arial" w:hAnsi="Arial" w:cs="Arial"/>
                <w:sz w:val="22"/>
                <w:szCs w:val="22"/>
              </w:rPr>
              <w:t xml:space="preserve">After reviewing the Military Veterans Act with regards to the establishment of the Advisory Council and the Appeals Board, the power and duties, the appointment requirements and the composition of these governance structures, it is apparent that their functions are similar to that of persons appointed as advisors on grounds of policy considerations in terms of section </w:t>
            </w:r>
            <w:r w:rsidRPr="00BF4193">
              <w:rPr>
                <w:rFonts w:ascii="Arial" w:hAnsi="Arial" w:cs="Arial"/>
                <w:sz w:val="22"/>
                <w:szCs w:val="22"/>
              </w:rPr>
              <w:lastRenderedPageBreak/>
              <w:t>12A of the Public Service Act of 1994.</w:t>
            </w:r>
          </w:p>
          <w:p w:rsidR="00E819FA" w:rsidRPr="00BF4193" w:rsidRDefault="00E819FA" w:rsidP="00BF4193">
            <w:pPr>
              <w:pStyle w:val="ListParagraph"/>
              <w:ind w:left="342"/>
              <w:jc w:val="both"/>
              <w:rPr>
                <w:rFonts w:ascii="Arial" w:hAnsi="Arial" w:cs="Arial"/>
                <w:sz w:val="22"/>
                <w:szCs w:val="22"/>
              </w:rPr>
            </w:pPr>
          </w:p>
          <w:p w:rsidR="008E1486" w:rsidRPr="00BF4193" w:rsidRDefault="00E819FA" w:rsidP="00BF4193">
            <w:pPr>
              <w:pStyle w:val="ListParagraph"/>
              <w:numPr>
                <w:ilvl w:val="0"/>
                <w:numId w:val="26"/>
              </w:numPr>
              <w:ind w:left="342" w:hanging="270"/>
              <w:jc w:val="both"/>
              <w:rPr>
                <w:rFonts w:ascii="Arial" w:hAnsi="Arial" w:cs="Arial"/>
                <w:sz w:val="22"/>
                <w:szCs w:val="22"/>
                <w:lang w:val="en-US"/>
              </w:rPr>
            </w:pPr>
            <w:r w:rsidRPr="00BF4193">
              <w:rPr>
                <w:rFonts w:ascii="Arial" w:hAnsi="Arial" w:cs="Arial"/>
                <w:sz w:val="22"/>
                <w:szCs w:val="22"/>
              </w:rPr>
              <w:t>It is for this reason that NT approved that Members of the DMV’s Advisory Council and Appeals Board be treated the same as persons appointed as advisors on grounds of policy considerations in terms of section 12A of the Public Service Act of 1994 for travel provisions as set out in the two Instructions mentioned above.</w:t>
            </w:r>
          </w:p>
        </w:tc>
      </w:tr>
      <w:tr w:rsidR="000321BB" w:rsidTr="00753BF8">
        <w:tc>
          <w:tcPr>
            <w:tcW w:w="1799" w:type="dxa"/>
            <w:tcBorders>
              <w:bottom w:val="single" w:sz="4" w:space="0" w:color="auto"/>
            </w:tcBorders>
          </w:tcPr>
          <w:p w:rsidR="000321BB" w:rsidRPr="00BF4193" w:rsidRDefault="001E4908" w:rsidP="00BF4193">
            <w:pPr>
              <w:tabs>
                <w:tab w:val="left" w:pos="432"/>
                <w:tab w:val="left" w:pos="720"/>
              </w:tabs>
              <w:jc w:val="both"/>
              <w:rPr>
                <w:rFonts w:ascii="Arial" w:hAnsi="Arial" w:cs="Arial"/>
                <w:sz w:val="22"/>
                <w:szCs w:val="22"/>
                <w:lang w:val="en-US"/>
              </w:rPr>
            </w:pPr>
            <w:r>
              <w:rPr>
                <w:rFonts w:ascii="Arial" w:hAnsi="Arial" w:cs="Arial"/>
                <w:sz w:val="22"/>
                <w:szCs w:val="22"/>
                <w:lang w:val="en-US"/>
              </w:rPr>
              <w:lastRenderedPageBreak/>
              <w:t xml:space="preserve">The </w:t>
            </w:r>
            <w:r w:rsidR="000321BB" w:rsidRPr="00BF4193">
              <w:rPr>
                <w:rFonts w:ascii="Arial" w:hAnsi="Arial" w:cs="Arial"/>
                <w:sz w:val="22"/>
                <w:szCs w:val="22"/>
                <w:lang w:val="en-US"/>
              </w:rPr>
              <w:t>Presidency</w:t>
            </w:r>
          </w:p>
        </w:tc>
        <w:tc>
          <w:tcPr>
            <w:tcW w:w="1962" w:type="dxa"/>
            <w:tcBorders>
              <w:bottom w:val="single" w:sz="4" w:space="0" w:color="auto"/>
            </w:tcBorders>
          </w:tcPr>
          <w:p w:rsidR="000321BB" w:rsidRPr="00BF4193" w:rsidRDefault="000321BB" w:rsidP="00BF4193">
            <w:pPr>
              <w:tabs>
                <w:tab w:val="left" w:pos="432"/>
                <w:tab w:val="left" w:pos="720"/>
              </w:tabs>
              <w:jc w:val="both"/>
              <w:rPr>
                <w:rFonts w:ascii="Arial" w:hAnsi="Arial" w:cs="Arial"/>
                <w:sz w:val="22"/>
                <w:szCs w:val="22"/>
                <w:lang w:val="en-US"/>
              </w:rPr>
            </w:pPr>
            <w:r w:rsidRPr="00BF4193">
              <w:rPr>
                <w:rFonts w:ascii="Arial" w:hAnsi="Arial" w:cs="Arial"/>
                <w:sz w:val="22"/>
                <w:szCs w:val="22"/>
              </w:rPr>
              <w:t>31 March 2017</w:t>
            </w:r>
          </w:p>
        </w:tc>
        <w:tc>
          <w:tcPr>
            <w:tcW w:w="1890" w:type="dxa"/>
            <w:tcBorders>
              <w:bottom w:val="single" w:sz="4" w:space="0" w:color="auto"/>
            </w:tcBorders>
          </w:tcPr>
          <w:p w:rsidR="000321BB" w:rsidRPr="00BF4193" w:rsidRDefault="000321BB" w:rsidP="00BF4193">
            <w:pPr>
              <w:tabs>
                <w:tab w:val="left" w:pos="432"/>
                <w:tab w:val="left" w:pos="720"/>
              </w:tabs>
              <w:jc w:val="both"/>
              <w:rPr>
                <w:rFonts w:ascii="Arial" w:hAnsi="Arial" w:cs="Arial"/>
                <w:sz w:val="22"/>
                <w:szCs w:val="22"/>
                <w:lang w:val="en-US"/>
              </w:rPr>
            </w:pPr>
            <w:r w:rsidRPr="00BF4193">
              <w:rPr>
                <w:rFonts w:ascii="Arial" w:hAnsi="Arial" w:cs="Arial"/>
                <w:sz w:val="22"/>
                <w:szCs w:val="22"/>
                <w:lang w:val="en-US"/>
              </w:rPr>
              <w:t>Not approved</w:t>
            </w:r>
          </w:p>
        </w:tc>
        <w:tc>
          <w:tcPr>
            <w:tcW w:w="2444" w:type="dxa"/>
            <w:tcBorders>
              <w:bottom w:val="single" w:sz="4" w:space="0" w:color="auto"/>
            </w:tcBorders>
          </w:tcPr>
          <w:p w:rsidR="00E819FA" w:rsidRPr="00BF4193" w:rsidRDefault="00E819FA" w:rsidP="00BF4193">
            <w:pPr>
              <w:jc w:val="both"/>
              <w:rPr>
                <w:rFonts w:ascii="Arial" w:hAnsi="Arial" w:cs="Arial"/>
                <w:sz w:val="22"/>
                <w:szCs w:val="22"/>
              </w:rPr>
            </w:pPr>
            <w:r w:rsidRPr="00BF4193">
              <w:rPr>
                <w:rFonts w:ascii="Arial" w:hAnsi="Arial" w:cs="Arial"/>
                <w:sz w:val="22"/>
                <w:szCs w:val="22"/>
              </w:rPr>
              <w:t xml:space="preserve">Request to exceed the maximum allowance rate per star grading for domestic hotel accommodation </w:t>
            </w:r>
          </w:p>
          <w:p w:rsidR="000321BB" w:rsidRPr="00BF4193" w:rsidRDefault="000321BB" w:rsidP="00BF4193">
            <w:pPr>
              <w:tabs>
                <w:tab w:val="left" w:pos="432"/>
                <w:tab w:val="left" w:pos="720"/>
              </w:tabs>
              <w:ind w:left="414" w:hanging="414"/>
              <w:jc w:val="both"/>
              <w:rPr>
                <w:rFonts w:ascii="Arial" w:hAnsi="Arial" w:cs="Arial"/>
                <w:sz w:val="22"/>
                <w:szCs w:val="22"/>
                <w:lang w:val="en-US"/>
              </w:rPr>
            </w:pPr>
          </w:p>
        </w:tc>
        <w:tc>
          <w:tcPr>
            <w:tcW w:w="2851" w:type="dxa"/>
            <w:tcBorders>
              <w:bottom w:val="single" w:sz="4" w:space="0" w:color="auto"/>
            </w:tcBorders>
          </w:tcPr>
          <w:p w:rsidR="00E819FA" w:rsidRPr="00BF4193" w:rsidRDefault="00E819FA" w:rsidP="00BF4193">
            <w:pPr>
              <w:pStyle w:val="ListParagraph"/>
              <w:numPr>
                <w:ilvl w:val="0"/>
                <w:numId w:val="26"/>
              </w:numPr>
              <w:tabs>
                <w:tab w:val="left" w:pos="432"/>
                <w:tab w:val="left" w:pos="720"/>
              </w:tabs>
              <w:ind w:left="432" w:hanging="432"/>
              <w:jc w:val="both"/>
              <w:rPr>
                <w:rFonts w:ascii="Arial" w:eastAsia="Calibri" w:hAnsi="Arial" w:cs="Arial"/>
                <w:sz w:val="22"/>
                <w:szCs w:val="22"/>
                <w:lang w:val="en-ZA"/>
              </w:rPr>
            </w:pPr>
            <w:r w:rsidRPr="00BF4193">
              <w:rPr>
                <w:rFonts w:ascii="Arial" w:eastAsia="Calibri" w:hAnsi="Arial" w:cs="Arial"/>
                <w:sz w:val="22"/>
                <w:szCs w:val="22"/>
                <w:lang w:val="en-ZA"/>
              </w:rPr>
              <w:t>Special Advisors, Officials in the private office of the Presidency and Deputy Presidency, Office of the Director General, Office of the Chief Operations Officer,</w:t>
            </w:r>
            <w:r w:rsidR="001E4908">
              <w:rPr>
                <w:rFonts w:ascii="Arial" w:eastAsia="Calibri" w:hAnsi="Arial" w:cs="Arial"/>
                <w:sz w:val="22"/>
                <w:szCs w:val="22"/>
                <w:lang w:val="en-ZA"/>
              </w:rPr>
              <w:t xml:space="preserve"> </w:t>
            </w:r>
            <w:r w:rsidRPr="00BF4193">
              <w:rPr>
                <w:rFonts w:ascii="Arial" w:eastAsia="Calibri" w:hAnsi="Arial" w:cs="Arial"/>
                <w:sz w:val="22"/>
                <w:szCs w:val="22"/>
                <w:lang w:val="en-ZA"/>
              </w:rPr>
              <w:t xml:space="preserve">support staff of former principals, protocol officers, spousal support staff and presidential aides are required to travel to </w:t>
            </w:r>
            <w:r w:rsidR="001E4908">
              <w:rPr>
                <w:rFonts w:ascii="Arial" w:eastAsia="Calibri" w:hAnsi="Arial" w:cs="Arial"/>
                <w:sz w:val="22"/>
                <w:szCs w:val="22"/>
                <w:lang w:val="en-ZA"/>
              </w:rPr>
              <w:t>C</w:t>
            </w:r>
            <w:r w:rsidRPr="00BF4193">
              <w:rPr>
                <w:rFonts w:ascii="Arial" w:eastAsia="Calibri" w:hAnsi="Arial" w:cs="Arial"/>
                <w:sz w:val="22"/>
                <w:szCs w:val="22"/>
                <w:lang w:val="en-ZA"/>
              </w:rPr>
              <w:t xml:space="preserve">ape </w:t>
            </w:r>
            <w:r w:rsidR="001E4908">
              <w:rPr>
                <w:rFonts w:ascii="Arial" w:eastAsia="Calibri" w:hAnsi="Arial" w:cs="Arial"/>
                <w:sz w:val="22"/>
                <w:szCs w:val="22"/>
                <w:lang w:val="en-ZA"/>
              </w:rPr>
              <w:t>T</w:t>
            </w:r>
            <w:r w:rsidRPr="00BF4193">
              <w:rPr>
                <w:rFonts w:ascii="Arial" w:eastAsia="Calibri" w:hAnsi="Arial" w:cs="Arial"/>
                <w:sz w:val="22"/>
                <w:szCs w:val="22"/>
                <w:lang w:val="en-ZA"/>
              </w:rPr>
              <w:t xml:space="preserve">own and other provinces in support of principals during official </w:t>
            </w:r>
            <w:r w:rsidRPr="00BF4193">
              <w:rPr>
                <w:rFonts w:ascii="Arial" w:eastAsia="Calibri" w:hAnsi="Arial" w:cs="Arial"/>
                <w:sz w:val="22"/>
                <w:szCs w:val="22"/>
                <w:lang w:val="en-ZA"/>
              </w:rPr>
              <w:lastRenderedPageBreak/>
              <w:t xml:space="preserve">engagements. </w:t>
            </w:r>
          </w:p>
          <w:p w:rsidR="00E819FA" w:rsidRPr="00BF4193" w:rsidRDefault="00E819FA" w:rsidP="00BF4193">
            <w:pPr>
              <w:tabs>
                <w:tab w:val="left" w:pos="432"/>
                <w:tab w:val="left" w:pos="720"/>
              </w:tabs>
              <w:ind w:left="432" w:hanging="432"/>
              <w:jc w:val="both"/>
              <w:rPr>
                <w:rFonts w:ascii="Arial" w:eastAsia="Calibri" w:hAnsi="Arial" w:cs="Arial"/>
                <w:sz w:val="22"/>
                <w:szCs w:val="22"/>
                <w:lang w:val="en-ZA"/>
              </w:rPr>
            </w:pPr>
          </w:p>
          <w:p w:rsidR="000321BB" w:rsidRPr="00BF4193" w:rsidRDefault="00E819FA" w:rsidP="00BF4193">
            <w:pPr>
              <w:pStyle w:val="ListParagraph"/>
              <w:numPr>
                <w:ilvl w:val="0"/>
                <w:numId w:val="26"/>
              </w:numPr>
              <w:tabs>
                <w:tab w:val="left" w:pos="432"/>
                <w:tab w:val="left" w:pos="720"/>
              </w:tabs>
              <w:ind w:left="432" w:hanging="432"/>
              <w:jc w:val="both"/>
              <w:rPr>
                <w:rFonts w:ascii="Arial" w:hAnsi="Arial" w:cs="Arial"/>
                <w:sz w:val="22"/>
                <w:szCs w:val="22"/>
                <w:lang w:val="en-US"/>
              </w:rPr>
            </w:pPr>
            <w:r w:rsidRPr="00BF4193">
              <w:rPr>
                <w:rFonts w:ascii="Arial" w:eastAsia="Calibri" w:hAnsi="Arial" w:cs="Arial"/>
                <w:sz w:val="22"/>
                <w:szCs w:val="22"/>
                <w:lang w:val="en-ZA"/>
              </w:rPr>
              <w:t>The Domestic Accommodation Rate Grid determines the maximum allowance rate per star grading within which an employee is allowed to be accommodated in accordance with an employee’s salary level. This poses a challenge as some of the hotel rates do not fall within the maximum allowed rates.</w:t>
            </w:r>
          </w:p>
        </w:tc>
        <w:tc>
          <w:tcPr>
            <w:tcW w:w="4137" w:type="dxa"/>
            <w:tcBorders>
              <w:bottom w:val="single" w:sz="4" w:space="0" w:color="auto"/>
            </w:tcBorders>
          </w:tcPr>
          <w:p w:rsidR="000321BB" w:rsidRPr="001E4908" w:rsidRDefault="000321BB" w:rsidP="001E4908">
            <w:pPr>
              <w:tabs>
                <w:tab w:val="left" w:pos="357"/>
              </w:tabs>
              <w:jc w:val="both"/>
              <w:rPr>
                <w:rFonts w:ascii="Arial" w:hAnsi="Arial" w:cs="Arial"/>
                <w:sz w:val="22"/>
                <w:szCs w:val="22"/>
                <w:lang w:val="en-US"/>
              </w:rPr>
            </w:pPr>
            <w:r w:rsidRPr="001E4908">
              <w:rPr>
                <w:rFonts w:ascii="Arial" w:hAnsi="Arial" w:cs="Arial"/>
                <w:sz w:val="22"/>
                <w:szCs w:val="22"/>
              </w:rPr>
              <w:lastRenderedPageBreak/>
              <w:t>National Treasury does not give blanket approvals to deviate from cost containment measures.</w:t>
            </w:r>
          </w:p>
        </w:tc>
      </w:tr>
      <w:tr w:rsidR="000321BB" w:rsidTr="00753BF8">
        <w:tc>
          <w:tcPr>
            <w:tcW w:w="1799" w:type="dxa"/>
            <w:tcBorders>
              <w:top w:val="single" w:sz="4" w:space="0" w:color="auto"/>
              <w:left w:val="single" w:sz="4" w:space="0" w:color="auto"/>
              <w:bottom w:val="single" w:sz="4" w:space="0" w:color="auto"/>
              <w:right w:val="single" w:sz="4" w:space="0" w:color="auto"/>
            </w:tcBorders>
          </w:tcPr>
          <w:p w:rsidR="000321BB" w:rsidRPr="00BF4193" w:rsidRDefault="001E4908" w:rsidP="00BF4193">
            <w:pPr>
              <w:jc w:val="both"/>
              <w:rPr>
                <w:rFonts w:ascii="Arial" w:hAnsi="Arial" w:cs="Arial"/>
                <w:sz w:val="22"/>
                <w:szCs w:val="22"/>
              </w:rPr>
            </w:pPr>
            <w:r>
              <w:rPr>
                <w:rFonts w:ascii="Arial" w:hAnsi="Arial" w:cs="Arial"/>
                <w:sz w:val="22"/>
                <w:szCs w:val="22"/>
                <w:lang w:val="en-US"/>
              </w:rPr>
              <w:lastRenderedPageBreak/>
              <w:t xml:space="preserve">The </w:t>
            </w:r>
            <w:r w:rsidR="000321BB" w:rsidRPr="00BF4193">
              <w:rPr>
                <w:rFonts w:ascii="Arial" w:hAnsi="Arial" w:cs="Arial"/>
                <w:sz w:val="22"/>
                <w:szCs w:val="22"/>
                <w:lang w:val="en-US"/>
              </w:rPr>
              <w:t>Presidency</w:t>
            </w:r>
          </w:p>
        </w:tc>
        <w:tc>
          <w:tcPr>
            <w:tcW w:w="1962" w:type="dxa"/>
            <w:tcBorders>
              <w:top w:val="single" w:sz="4" w:space="0" w:color="auto"/>
              <w:left w:val="single" w:sz="4" w:space="0" w:color="auto"/>
              <w:bottom w:val="single" w:sz="4" w:space="0" w:color="auto"/>
              <w:right w:val="single" w:sz="4" w:space="0" w:color="auto"/>
            </w:tcBorders>
          </w:tcPr>
          <w:p w:rsidR="000321BB" w:rsidRPr="00BF4193" w:rsidRDefault="000321BB" w:rsidP="00BF4193">
            <w:pPr>
              <w:jc w:val="both"/>
              <w:rPr>
                <w:rFonts w:ascii="Arial" w:hAnsi="Arial" w:cs="Arial"/>
                <w:sz w:val="22"/>
                <w:szCs w:val="22"/>
                <w:lang w:val="en-US"/>
              </w:rPr>
            </w:pPr>
            <w:r w:rsidRPr="00BF4193">
              <w:rPr>
                <w:rFonts w:ascii="Arial" w:hAnsi="Arial" w:cs="Arial"/>
                <w:sz w:val="22"/>
                <w:szCs w:val="22"/>
                <w:lang w:val="en-US"/>
              </w:rPr>
              <w:t>29 Aug</w:t>
            </w:r>
            <w:r w:rsidR="001E4908">
              <w:rPr>
                <w:rFonts w:ascii="Arial" w:hAnsi="Arial" w:cs="Arial"/>
                <w:sz w:val="22"/>
                <w:szCs w:val="22"/>
                <w:lang w:val="en-US"/>
              </w:rPr>
              <w:t>ust</w:t>
            </w:r>
            <w:r w:rsidRPr="00BF4193">
              <w:rPr>
                <w:rFonts w:ascii="Arial" w:hAnsi="Arial" w:cs="Arial"/>
                <w:sz w:val="22"/>
                <w:szCs w:val="22"/>
                <w:lang w:val="en-US"/>
              </w:rPr>
              <w:t xml:space="preserve"> 2017</w:t>
            </w:r>
          </w:p>
        </w:tc>
        <w:tc>
          <w:tcPr>
            <w:tcW w:w="1890" w:type="dxa"/>
            <w:tcBorders>
              <w:top w:val="single" w:sz="4" w:space="0" w:color="auto"/>
              <w:left w:val="single" w:sz="4" w:space="0" w:color="auto"/>
              <w:bottom w:val="single" w:sz="4" w:space="0" w:color="auto"/>
              <w:right w:val="single" w:sz="4" w:space="0" w:color="auto"/>
            </w:tcBorders>
          </w:tcPr>
          <w:p w:rsidR="000321BB" w:rsidRPr="00BF4193" w:rsidRDefault="000321BB" w:rsidP="00BF4193">
            <w:pPr>
              <w:jc w:val="both"/>
              <w:rPr>
                <w:rFonts w:ascii="Arial" w:hAnsi="Arial" w:cs="Arial"/>
                <w:sz w:val="22"/>
                <w:szCs w:val="22"/>
                <w:lang w:val="en-US"/>
              </w:rPr>
            </w:pPr>
            <w:r w:rsidRPr="00BF4193">
              <w:rPr>
                <w:rFonts w:ascii="Arial" w:hAnsi="Arial" w:cs="Arial"/>
                <w:sz w:val="22"/>
                <w:szCs w:val="22"/>
                <w:lang w:val="en-US"/>
              </w:rPr>
              <w:t>Under review</w:t>
            </w:r>
          </w:p>
        </w:tc>
        <w:tc>
          <w:tcPr>
            <w:tcW w:w="2444" w:type="dxa"/>
            <w:tcBorders>
              <w:top w:val="single" w:sz="4" w:space="0" w:color="auto"/>
              <w:left w:val="single" w:sz="4" w:space="0" w:color="auto"/>
              <w:bottom w:val="single" w:sz="4" w:space="0" w:color="auto"/>
              <w:right w:val="single" w:sz="4" w:space="0" w:color="auto"/>
            </w:tcBorders>
          </w:tcPr>
          <w:p w:rsidR="000321BB" w:rsidRPr="00BF4193" w:rsidRDefault="00E819FA" w:rsidP="00BF4193">
            <w:pPr>
              <w:tabs>
                <w:tab w:val="left" w:pos="432"/>
                <w:tab w:val="left" w:pos="720"/>
              </w:tabs>
              <w:jc w:val="both"/>
              <w:rPr>
                <w:rFonts w:ascii="Arial" w:hAnsi="Arial" w:cs="Arial"/>
                <w:sz w:val="22"/>
                <w:szCs w:val="22"/>
                <w:lang w:val="en-US"/>
              </w:rPr>
            </w:pPr>
            <w:r w:rsidRPr="00BF4193">
              <w:rPr>
                <w:rFonts w:ascii="Arial" w:eastAsia="Calibri" w:hAnsi="Arial" w:cs="Arial"/>
                <w:sz w:val="22"/>
                <w:szCs w:val="22"/>
                <w:lang w:val="en-ZA"/>
              </w:rPr>
              <w:t>Request for deviation from I</w:t>
            </w:r>
            <w:r w:rsidR="00DC703C" w:rsidRPr="00BF4193">
              <w:rPr>
                <w:rFonts w:ascii="Arial" w:eastAsia="Calibri" w:hAnsi="Arial" w:cs="Arial"/>
                <w:sz w:val="22"/>
                <w:szCs w:val="22"/>
                <w:lang w:val="en-ZA"/>
              </w:rPr>
              <w:t xml:space="preserve">nstruction </w:t>
            </w:r>
            <w:r w:rsidRPr="00BF4193">
              <w:rPr>
                <w:rFonts w:ascii="Arial" w:eastAsia="Calibri" w:hAnsi="Arial" w:cs="Arial"/>
                <w:sz w:val="22"/>
                <w:szCs w:val="22"/>
                <w:lang w:val="en-ZA"/>
              </w:rPr>
              <w:t>N</w:t>
            </w:r>
            <w:r w:rsidR="00DC703C" w:rsidRPr="00BF4193">
              <w:rPr>
                <w:rFonts w:ascii="Arial" w:eastAsia="Calibri" w:hAnsi="Arial" w:cs="Arial"/>
                <w:sz w:val="22"/>
                <w:szCs w:val="22"/>
                <w:lang w:val="en-ZA"/>
              </w:rPr>
              <w:t>ote No.</w:t>
            </w:r>
            <w:r w:rsidRPr="00BF4193">
              <w:rPr>
                <w:rFonts w:ascii="Arial" w:eastAsia="Calibri" w:hAnsi="Arial" w:cs="Arial"/>
                <w:sz w:val="22"/>
                <w:szCs w:val="22"/>
                <w:lang w:val="en-ZA"/>
              </w:rPr>
              <w:t xml:space="preserve"> 4 of 2017/18 for essential core staff to travel in the same class when accompanying the President and Deputy-President on commercial flights.</w:t>
            </w:r>
          </w:p>
        </w:tc>
        <w:tc>
          <w:tcPr>
            <w:tcW w:w="2851" w:type="dxa"/>
            <w:tcBorders>
              <w:top w:val="single" w:sz="4" w:space="0" w:color="auto"/>
              <w:left w:val="single" w:sz="4" w:space="0" w:color="auto"/>
              <w:bottom w:val="single" w:sz="4" w:space="0" w:color="auto"/>
              <w:right w:val="single" w:sz="4" w:space="0" w:color="auto"/>
            </w:tcBorders>
          </w:tcPr>
          <w:p w:rsidR="000321BB" w:rsidRPr="00BF4193" w:rsidRDefault="009B5029" w:rsidP="00BF4193">
            <w:pPr>
              <w:tabs>
                <w:tab w:val="left" w:pos="432"/>
                <w:tab w:val="left" w:pos="720"/>
              </w:tabs>
              <w:jc w:val="both"/>
              <w:rPr>
                <w:rFonts w:ascii="Arial" w:hAnsi="Arial" w:cs="Arial"/>
                <w:sz w:val="22"/>
                <w:szCs w:val="22"/>
                <w:lang w:val="en-US"/>
              </w:rPr>
            </w:pPr>
            <w:r w:rsidRPr="00BF4193">
              <w:rPr>
                <w:rFonts w:ascii="Arial" w:hAnsi="Arial" w:cs="Arial"/>
                <w:sz w:val="22"/>
                <w:szCs w:val="22"/>
                <w:lang w:val="en-US"/>
              </w:rPr>
              <w:t>Arrangement of commercial air travel on occasion, including accommodating of essential core staff travelling with principals.</w:t>
            </w:r>
          </w:p>
        </w:tc>
        <w:tc>
          <w:tcPr>
            <w:tcW w:w="4137" w:type="dxa"/>
            <w:tcBorders>
              <w:top w:val="single" w:sz="4" w:space="0" w:color="auto"/>
              <w:left w:val="single" w:sz="4" w:space="0" w:color="auto"/>
              <w:bottom w:val="single" w:sz="4" w:space="0" w:color="auto"/>
              <w:right w:val="single" w:sz="4" w:space="0" w:color="auto"/>
            </w:tcBorders>
          </w:tcPr>
          <w:p w:rsidR="000321BB" w:rsidRPr="00BF4193" w:rsidRDefault="00E819FA" w:rsidP="001E4908">
            <w:pPr>
              <w:tabs>
                <w:tab w:val="left" w:pos="432"/>
              </w:tabs>
              <w:jc w:val="both"/>
              <w:rPr>
                <w:rFonts w:ascii="Arial" w:hAnsi="Arial" w:cs="Arial"/>
                <w:sz w:val="22"/>
                <w:szCs w:val="22"/>
                <w:lang w:val="en-US"/>
              </w:rPr>
            </w:pPr>
            <w:r w:rsidRPr="00BF4193">
              <w:rPr>
                <w:rFonts w:ascii="Arial" w:hAnsi="Arial" w:cs="Arial"/>
                <w:sz w:val="22"/>
                <w:szCs w:val="22"/>
              </w:rPr>
              <w:t xml:space="preserve">In efforts to minimise cost, the Presidency will on occasion arrange for commercial air travel for the President and Deputy President.  On such occasions, it is critical that essential core staff traveling with the Principals be accommodated in the same class during </w:t>
            </w:r>
            <w:r w:rsidR="001E4908">
              <w:rPr>
                <w:rFonts w:ascii="Arial" w:hAnsi="Arial" w:cs="Arial"/>
                <w:sz w:val="22"/>
                <w:szCs w:val="22"/>
              </w:rPr>
              <w:t xml:space="preserve">the </w:t>
            </w:r>
            <w:r w:rsidRPr="00BF4193">
              <w:rPr>
                <w:rFonts w:ascii="Arial" w:hAnsi="Arial" w:cs="Arial"/>
                <w:sz w:val="22"/>
                <w:szCs w:val="22"/>
              </w:rPr>
              <w:t xml:space="preserve">flights.  The core </w:t>
            </w:r>
            <w:proofErr w:type="gramStart"/>
            <w:r w:rsidR="00200E92" w:rsidRPr="00BF4193">
              <w:rPr>
                <w:rFonts w:ascii="Arial" w:hAnsi="Arial" w:cs="Arial"/>
                <w:sz w:val="22"/>
                <w:szCs w:val="22"/>
              </w:rPr>
              <w:t>staff</w:t>
            </w:r>
            <w:proofErr w:type="gramEnd"/>
            <w:r w:rsidR="00200E92" w:rsidRPr="00BF4193">
              <w:rPr>
                <w:rFonts w:ascii="Arial" w:hAnsi="Arial" w:cs="Arial"/>
                <w:sz w:val="22"/>
                <w:szCs w:val="22"/>
              </w:rPr>
              <w:t xml:space="preserve"> comprises</w:t>
            </w:r>
            <w:r w:rsidRPr="00BF4193">
              <w:rPr>
                <w:rFonts w:ascii="Arial" w:hAnsi="Arial" w:cs="Arial"/>
                <w:sz w:val="22"/>
                <w:szCs w:val="22"/>
              </w:rPr>
              <w:t xml:space="preserve">, but is not limited to, Private/Assistant Private Secretary, Presidential Aide, Medical Doctor and two Close Protectors.  </w:t>
            </w:r>
            <w:r w:rsidR="001E4908">
              <w:rPr>
                <w:rFonts w:ascii="Arial" w:hAnsi="Arial" w:cs="Arial"/>
                <w:sz w:val="22"/>
                <w:szCs w:val="22"/>
              </w:rPr>
              <w:t xml:space="preserve">The </w:t>
            </w:r>
            <w:r w:rsidRPr="00BF4193">
              <w:rPr>
                <w:rFonts w:ascii="Arial" w:hAnsi="Arial" w:cs="Arial"/>
                <w:sz w:val="22"/>
                <w:szCs w:val="22"/>
              </w:rPr>
              <w:t>N</w:t>
            </w:r>
            <w:r w:rsidR="00DC703C" w:rsidRPr="00BF4193">
              <w:rPr>
                <w:rFonts w:ascii="Arial" w:hAnsi="Arial" w:cs="Arial"/>
                <w:sz w:val="22"/>
                <w:szCs w:val="22"/>
              </w:rPr>
              <w:t xml:space="preserve">ational </w:t>
            </w:r>
            <w:r w:rsidRPr="00BF4193">
              <w:rPr>
                <w:rFonts w:ascii="Arial" w:hAnsi="Arial" w:cs="Arial"/>
                <w:sz w:val="22"/>
                <w:szCs w:val="22"/>
              </w:rPr>
              <w:t>T</w:t>
            </w:r>
            <w:r w:rsidR="00DC703C" w:rsidRPr="00BF4193">
              <w:rPr>
                <w:rFonts w:ascii="Arial" w:hAnsi="Arial" w:cs="Arial"/>
                <w:sz w:val="22"/>
                <w:szCs w:val="22"/>
              </w:rPr>
              <w:t>reasury</w:t>
            </w:r>
            <w:r w:rsidRPr="00BF4193">
              <w:rPr>
                <w:rFonts w:ascii="Arial" w:hAnsi="Arial" w:cs="Arial"/>
                <w:sz w:val="22"/>
                <w:szCs w:val="22"/>
              </w:rPr>
              <w:t xml:space="preserve"> I</w:t>
            </w:r>
            <w:r w:rsidR="00DC703C" w:rsidRPr="00BF4193">
              <w:rPr>
                <w:rFonts w:ascii="Arial" w:hAnsi="Arial" w:cs="Arial"/>
                <w:sz w:val="22"/>
                <w:szCs w:val="22"/>
              </w:rPr>
              <w:t xml:space="preserve">nstruction </w:t>
            </w:r>
            <w:r w:rsidRPr="00BF4193">
              <w:rPr>
                <w:rFonts w:ascii="Arial" w:hAnsi="Arial" w:cs="Arial"/>
                <w:sz w:val="22"/>
                <w:szCs w:val="22"/>
              </w:rPr>
              <w:t>N</w:t>
            </w:r>
            <w:r w:rsidR="00DC703C" w:rsidRPr="00BF4193">
              <w:rPr>
                <w:rFonts w:ascii="Arial" w:hAnsi="Arial" w:cs="Arial"/>
                <w:sz w:val="22"/>
                <w:szCs w:val="22"/>
              </w:rPr>
              <w:t>ote No.</w:t>
            </w:r>
            <w:r w:rsidRPr="00BF4193">
              <w:rPr>
                <w:rFonts w:ascii="Arial" w:hAnsi="Arial" w:cs="Arial"/>
                <w:sz w:val="22"/>
                <w:szCs w:val="22"/>
              </w:rPr>
              <w:t xml:space="preserve"> 4 of </w:t>
            </w:r>
            <w:r w:rsidRPr="00BF4193">
              <w:rPr>
                <w:rFonts w:ascii="Arial" w:hAnsi="Arial" w:cs="Arial"/>
                <w:sz w:val="22"/>
                <w:szCs w:val="22"/>
              </w:rPr>
              <w:lastRenderedPageBreak/>
              <w:t>2017/18 makes provision for business class travel for certain ranks.</w:t>
            </w:r>
            <w:r w:rsidR="001E4908">
              <w:rPr>
                <w:rFonts w:ascii="Arial" w:hAnsi="Arial" w:cs="Arial"/>
                <w:sz w:val="22"/>
                <w:szCs w:val="22"/>
              </w:rPr>
              <w:t xml:space="preserve">  </w:t>
            </w:r>
            <w:r w:rsidRPr="00BF4193">
              <w:rPr>
                <w:rFonts w:ascii="Arial" w:hAnsi="Arial" w:cs="Arial"/>
                <w:sz w:val="22"/>
                <w:szCs w:val="22"/>
              </w:rPr>
              <w:t>However, this excludes the core support staff of the Principals due to ranks not covered, irrespective of duration of travel.</w:t>
            </w:r>
          </w:p>
        </w:tc>
      </w:tr>
      <w:tr w:rsidR="00757B99" w:rsidTr="00753BF8">
        <w:tc>
          <w:tcPr>
            <w:tcW w:w="1799" w:type="dxa"/>
            <w:tcBorders>
              <w:top w:val="single" w:sz="4" w:space="0" w:color="auto"/>
            </w:tcBorders>
          </w:tcPr>
          <w:p w:rsidR="00757B99" w:rsidRPr="00BF4193" w:rsidRDefault="001E4908" w:rsidP="00BF4193">
            <w:pPr>
              <w:jc w:val="both"/>
              <w:rPr>
                <w:rFonts w:ascii="Arial" w:hAnsi="Arial" w:cs="Arial"/>
                <w:sz w:val="22"/>
                <w:szCs w:val="22"/>
                <w:lang w:val="en-US"/>
              </w:rPr>
            </w:pPr>
            <w:r>
              <w:rPr>
                <w:rFonts w:ascii="Arial" w:hAnsi="Arial" w:cs="Arial"/>
                <w:sz w:val="22"/>
                <w:szCs w:val="22"/>
                <w:lang w:val="en-US"/>
              </w:rPr>
              <w:lastRenderedPageBreak/>
              <w:t xml:space="preserve">Department of </w:t>
            </w:r>
            <w:proofErr w:type="spellStart"/>
            <w:r w:rsidR="00757B99" w:rsidRPr="00BF4193">
              <w:rPr>
                <w:rFonts w:ascii="Arial" w:hAnsi="Arial" w:cs="Arial"/>
                <w:sz w:val="22"/>
                <w:szCs w:val="22"/>
                <w:lang w:val="en-US"/>
              </w:rPr>
              <w:t>Labour</w:t>
            </w:r>
            <w:proofErr w:type="spellEnd"/>
          </w:p>
        </w:tc>
        <w:tc>
          <w:tcPr>
            <w:tcW w:w="1962" w:type="dxa"/>
            <w:tcBorders>
              <w:top w:val="single" w:sz="4" w:space="0" w:color="auto"/>
            </w:tcBorders>
          </w:tcPr>
          <w:p w:rsidR="00757B99" w:rsidRPr="00BF4193" w:rsidRDefault="00757B99" w:rsidP="00BF4193">
            <w:pPr>
              <w:jc w:val="both"/>
              <w:rPr>
                <w:rFonts w:ascii="Arial" w:hAnsi="Arial" w:cs="Arial"/>
                <w:sz w:val="22"/>
                <w:szCs w:val="22"/>
                <w:lang w:val="en-US"/>
              </w:rPr>
            </w:pPr>
            <w:r w:rsidRPr="00BF4193">
              <w:rPr>
                <w:rFonts w:ascii="Arial" w:hAnsi="Arial" w:cs="Arial"/>
                <w:sz w:val="22"/>
                <w:szCs w:val="22"/>
                <w:lang w:val="en-US"/>
              </w:rPr>
              <w:t>20</w:t>
            </w:r>
            <w:r w:rsidR="00BF4193">
              <w:rPr>
                <w:rFonts w:ascii="Arial" w:hAnsi="Arial" w:cs="Arial"/>
                <w:sz w:val="22"/>
                <w:szCs w:val="22"/>
                <w:lang w:val="en-US"/>
              </w:rPr>
              <w:t xml:space="preserve"> July 2017</w:t>
            </w:r>
          </w:p>
        </w:tc>
        <w:tc>
          <w:tcPr>
            <w:tcW w:w="1890" w:type="dxa"/>
            <w:tcBorders>
              <w:top w:val="single" w:sz="4" w:space="0" w:color="auto"/>
            </w:tcBorders>
          </w:tcPr>
          <w:p w:rsidR="00757B99" w:rsidRPr="00BF4193" w:rsidRDefault="0085417E" w:rsidP="00BF4193">
            <w:pPr>
              <w:jc w:val="both"/>
              <w:rPr>
                <w:rFonts w:ascii="Arial" w:hAnsi="Arial" w:cs="Arial"/>
                <w:sz w:val="22"/>
                <w:szCs w:val="22"/>
                <w:lang w:val="en-US"/>
              </w:rPr>
            </w:pPr>
            <w:r w:rsidRPr="00BF4193">
              <w:rPr>
                <w:rFonts w:ascii="Arial" w:hAnsi="Arial" w:cs="Arial"/>
                <w:sz w:val="22"/>
                <w:szCs w:val="22"/>
                <w:lang w:val="en-US"/>
              </w:rPr>
              <w:t>Approved on c</w:t>
            </w:r>
            <w:r w:rsidR="00757B99" w:rsidRPr="00BF4193">
              <w:rPr>
                <w:rFonts w:ascii="Arial" w:hAnsi="Arial" w:cs="Arial"/>
                <w:sz w:val="22"/>
                <w:szCs w:val="22"/>
                <w:lang w:val="en-US"/>
              </w:rPr>
              <w:t>ondition</w:t>
            </w:r>
            <w:r w:rsidRPr="00BF4193">
              <w:rPr>
                <w:rFonts w:ascii="Arial" w:hAnsi="Arial" w:cs="Arial"/>
                <w:sz w:val="22"/>
                <w:szCs w:val="22"/>
                <w:lang w:val="en-US"/>
              </w:rPr>
              <w:t xml:space="preserve"> that the newspapers are not procured for personal use of employees</w:t>
            </w:r>
          </w:p>
        </w:tc>
        <w:tc>
          <w:tcPr>
            <w:tcW w:w="2444" w:type="dxa"/>
            <w:tcBorders>
              <w:top w:val="single" w:sz="4" w:space="0" w:color="auto"/>
            </w:tcBorders>
          </w:tcPr>
          <w:p w:rsidR="00757B99" w:rsidRPr="00BF4193" w:rsidRDefault="00757B99" w:rsidP="00BF4193">
            <w:pPr>
              <w:tabs>
                <w:tab w:val="left" w:pos="432"/>
                <w:tab w:val="left" w:pos="720"/>
              </w:tabs>
              <w:jc w:val="both"/>
              <w:rPr>
                <w:rFonts w:ascii="Arial" w:eastAsia="Calibri" w:hAnsi="Arial" w:cs="Arial"/>
                <w:sz w:val="22"/>
                <w:szCs w:val="22"/>
                <w:lang w:val="en-ZA"/>
              </w:rPr>
            </w:pPr>
            <w:r w:rsidRPr="00BF4193">
              <w:rPr>
                <w:rFonts w:ascii="Arial" w:eastAsia="Calibri" w:hAnsi="Arial" w:cs="Arial"/>
                <w:sz w:val="22"/>
                <w:szCs w:val="22"/>
                <w:lang w:val="en-ZA"/>
              </w:rPr>
              <w:t>Procurement of newspapers and magazines</w:t>
            </w:r>
          </w:p>
        </w:tc>
        <w:tc>
          <w:tcPr>
            <w:tcW w:w="2851" w:type="dxa"/>
            <w:tcBorders>
              <w:top w:val="single" w:sz="4" w:space="0" w:color="auto"/>
            </w:tcBorders>
          </w:tcPr>
          <w:p w:rsidR="00757B99" w:rsidRPr="00BF4193" w:rsidRDefault="00757B99" w:rsidP="001E4908">
            <w:pPr>
              <w:tabs>
                <w:tab w:val="left" w:pos="432"/>
                <w:tab w:val="left" w:pos="720"/>
              </w:tabs>
              <w:jc w:val="both"/>
              <w:rPr>
                <w:rFonts w:ascii="Arial" w:hAnsi="Arial" w:cs="Arial"/>
                <w:sz w:val="22"/>
                <w:szCs w:val="22"/>
                <w:lang w:val="en-US"/>
              </w:rPr>
            </w:pPr>
            <w:r w:rsidRPr="00BF4193">
              <w:rPr>
                <w:rFonts w:ascii="Arial" w:hAnsi="Arial" w:cs="Arial"/>
                <w:sz w:val="22"/>
                <w:szCs w:val="22"/>
                <w:lang w:val="en-US"/>
              </w:rPr>
              <w:t>The newspapers are for comprehensive monitoring of the mass media, the development of media analysis and research solutions and delivering of most appropriate interventions as a key element of the strategic management function.</w:t>
            </w:r>
          </w:p>
        </w:tc>
        <w:tc>
          <w:tcPr>
            <w:tcW w:w="4137" w:type="dxa"/>
            <w:tcBorders>
              <w:top w:val="single" w:sz="4" w:space="0" w:color="auto"/>
            </w:tcBorders>
          </w:tcPr>
          <w:p w:rsidR="00757B99" w:rsidRPr="00BF4193" w:rsidRDefault="00753BF8" w:rsidP="00BF4193">
            <w:pPr>
              <w:tabs>
                <w:tab w:val="left" w:pos="432"/>
              </w:tabs>
              <w:jc w:val="both"/>
              <w:rPr>
                <w:rFonts w:ascii="Arial" w:hAnsi="Arial" w:cs="Arial"/>
                <w:sz w:val="22"/>
                <w:szCs w:val="22"/>
              </w:rPr>
            </w:pPr>
            <w:r w:rsidRPr="00BF4193">
              <w:rPr>
                <w:rFonts w:ascii="Arial" w:hAnsi="Arial" w:cs="Arial"/>
                <w:sz w:val="22"/>
                <w:szCs w:val="22"/>
              </w:rPr>
              <w:t>Newspapers are for comprehensive monitoring of the mass media, the development of media analysis and research solutions and delivering of most appropriate interventions as this is a key element of the strategic management function.</w:t>
            </w:r>
          </w:p>
        </w:tc>
      </w:tr>
    </w:tbl>
    <w:p w:rsidR="00B34119" w:rsidRDefault="00B34119" w:rsidP="00757B99">
      <w:pPr>
        <w:pStyle w:val="ListParagraph"/>
        <w:tabs>
          <w:tab w:val="left" w:pos="432"/>
          <w:tab w:val="left" w:pos="864"/>
        </w:tabs>
        <w:spacing w:line="276" w:lineRule="auto"/>
        <w:rPr>
          <w:rFonts w:ascii="Arial" w:hAnsi="Arial" w:cs="Arial"/>
          <w:b/>
          <w:sz w:val="22"/>
          <w:szCs w:val="22"/>
          <w:lang w:val="en-US"/>
        </w:rPr>
      </w:pPr>
      <w:bookmarkStart w:id="0" w:name="_GoBack"/>
      <w:bookmarkEnd w:id="0"/>
    </w:p>
    <w:sectPr w:rsidR="00B34119" w:rsidSect="002B73C2">
      <w:pgSz w:w="16834" w:h="11909" w:orient="landscape" w:code="9"/>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5B4E" w:rsidRDefault="00355B4E" w:rsidP="00DC703C">
      <w:r>
        <w:separator/>
      </w:r>
    </w:p>
  </w:endnote>
  <w:endnote w:type="continuationSeparator" w:id="0">
    <w:p w:rsidR="00355B4E" w:rsidRDefault="00355B4E" w:rsidP="00DC70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8664526"/>
      <w:docPartObj>
        <w:docPartGallery w:val="Page Numbers (Bottom of Page)"/>
        <w:docPartUnique/>
      </w:docPartObj>
    </w:sdtPr>
    <w:sdtEndPr>
      <w:rPr>
        <w:rFonts w:ascii="Arial" w:hAnsi="Arial" w:cs="Arial"/>
        <w:noProof/>
        <w:sz w:val="22"/>
        <w:szCs w:val="22"/>
      </w:rPr>
    </w:sdtEndPr>
    <w:sdtContent>
      <w:p w:rsidR="00DC703C" w:rsidRPr="001E4908" w:rsidRDefault="00DC703C">
        <w:pPr>
          <w:pStyle w:val="Footer"/>
          <w:jc w:val="center"/>
          <w:rPr>
            <w:rFonts w:ascii="Arial" w:hAnsi="Arial" w:cs="Arial"/>
            <w:sz w:val="22"/>
            <w:szCs w:val="22"/>
          </w:rPr>
        </w:pPr>
        <w:r w:rsidRPr="001E4908">
          <w:rPr>
            <w:rFonts w:ascii="Arial" w:hAnsi="Arial" w:cs="Arial"/>
            <w:sz w:val="22"/>
            <w:szCs w:val="22"/>
          </w:rPr>
          <w:fldChar w:fldCharType="begin"/>
        </w:r>
        <w:r w:rsidRPr="001E4908">
          <w:rPr>
            <w:rFonts w:ascii="Arial" w:hAnsi="Arial" w:cs="Arial"/>
            <w:sz w:val="22"/>
            <w:szCs w:val="22"/>
          </w:rPr>
          <w:instrText xml:space="preserve"> PAGE   \* MERGEFORMAT </w:instrText>
        </w:r>
        <w:r w:rsidRPr="001E4908">
          <w:rPr>
            <w:rFonts w:ascii="Arial" w:hAnsi="Arial" w:cs="Arial"/>
            <w:sz w:val="22"/>
            <w:szCs w:val="22"/>
          </w:rPr>
          <w:fldChar w:fldCharType="separate"/>
        </w:r>
        <w:r w:rsidR="002B73C2">
          <w:rPr>
            <w:rFonts w:ascii="Arial" w:hAnsi="Arial" w:cs="Arial"/>
            <w:noProof/>
            <w:sz w:val="22"/>
            <w:szCs w:val="22"/>
          </w:rPr>
          <w:t>2</w:t>
        </w:r>
        <w:r w:rsidRPr="001E4908">
          <w:rPr>
            <w:rFonts w:ascii="Arial" w:hAnsi="Arial" w:cs="Arial"/>
            <w:noProof/>
            <w:sz w:val="22"/>
            <w:szCs w:val="22"/>
          </w:rPr>
          <w:fldChar w:fldCharType="end"/>
        </w:r>
      </w:p>
    </w:sdtContent>
  </w:sdt>
  <w:p w:rsidR="00DC703C" w:rsidRDefault="00DC703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4088080"/>
      <w:docPartObj>
        <w:docPartGallery w:val="Page Numbers (Bottom of Page)"/>
        <w:docPartUnique/>
      </w:docPartObj>
    </w:sdtPr>
    <w:sdtEndPr>
      <w:rPr>
        <w:noProof/>
      </w:rPr>
    </w:sdtEndPr>
    <w:sdtContent>
      <w:p w:rsidR="0015676C" w:rsidRDefault="0015676C">
        <w:pPr>
          <w:pStyle w:val="Footer"/>
          <w:jc w:val="center"/>
        </w:pPr>
        <w:r>
          <w:fldChar w:fldCharType="begin"/>
        </w:r>
        <w:r>
          <w:instrText xml:space="preserve"> PAGE   \* MERGEFORMAT </w:instrText>
        </w:r>
        <w:r>
          <w:fldChar w:fldCharType="separate"/>
        </w:r>
        <w:r w:rsidR="002B73C2">
          <w:rPr>
            <w:noProof/>
          </w:rPr>
          <w:t>1</w:t>
        </w:r>
        <w:r>
          <w:rPr>
            <w:noProof/>
          </w:rPr>
          <w:fldChar w:fldCharType="end"/>
        </w:r>
      </w:p>
    </w:sdtContent>
  </w:sdt>
  <w:p w:rsidR="0015676C" w:rsidRDefault="001567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5B4E" w:rsidRDefault="00355B4E" w:rsidP="00DC703C">
      <w:r>
        <w:separator/>
      </w:r>
    </w:p>
  </w:footnote>
  <w:footnote w:type="continuationSeparator" w:id="0">
    <w:p w:rsidR="00355B4E" w:rsidRDefault="00355B4E" w:rsidP="00DC70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F3282"/>
    <w:multiLevelType w:val="hybridMultilevel"/>
    <w:tmpl w:val="B4C0C550"/>
    <w:lvl w:ilvl="0" w:tplc="04090001">
      <w:start w:val="1"/>
      <w:numFmt w:val="bullet"/>
      <w:lvlText w:val=""/>
      <w:lvlJc w:val="left"/>
      <w:pPr>
        <w:ind w:left="1003" w:hanging="360"/>
      </w:pPr>
      <w:rPr>
        <w:rFonts w:ascii="Symbol" w:hAnsi="Symbol" w:hint="default"/>
      </w:rPr>
    </w:lvl>
    <w:lvl w:ilvl="1" w:tplc="04090003" w:tentative="1">
      <w:start w:val="1"/>
      <w:numFmt w:val="bullet"/>
      <w:lvlText w:val="o"/>
      <w:lvlJc w:val="left"/>
      <w:pPr>
        <w:ind w:left="1723" w:hanging="360"/>
      </w:pPr>
      <w:rPr>
        <w:rFonts w:ascii="Courier New" w:hAnsi="Courier New" w:cs="Courier New" w:hint="default"/>
      </w:rPr>
    </w:lvl>
    <w:lvl w:ilvl="2" w:tplc="04090005" w:tentative="1">
      <w:start w:val="1"/>
      <w:numFmt w:val="bullet"/>
      <w:lvlText w:val=""/>
      <w:lvlJc w:val="left"/>
      <w:pPr>
        <w:ind w:left="2443" w:hanging="360"/>
      </w:pPr>
      <w:rPr>
        <w:rFonts w:ascii="Wingdings" w:hAnsi="Wingdings" w:hint="default"/>
      </w:rPr>
    </w:lvl>
    <w:lvl w:ilvl="3" w:tplc="04090001" w:tentative="1">
      <w:start w:val="1"/>
      <w:numFmt w:val="bullet"/>
      <w:lvlText w:val=""/>
      <w:lvlJc w:val="left"/>
      <w:pPr>
        <w:ind w:left="3163" w:hanging="360"/>
      </w:pPr>
      <w:rPr>
        <w:rFonts w:ascii="Symbol" w:hAnsi="Symbol" w:hint="default"/>
      </w:rPr>
    </w:lvl>
    <w:lvl w:ilvl="4" w:tplc="04090003" w:tentative="1">
      <w:start w:val="1"/>
      <w:numFmt w:val="bullet"/>
      <w:lvlText w:val="o"/>
      <w:lvlJc w:val="left"/>
      <w:pPr>
        <w:ind w:left="3883" w:hanging="360"/>
      </w:pPr>
      <w:rPr>
        <w:rFonts w:ascii="Courier New" w:hAnsi="Courier New" w:cs="Courier New" w:hint="default"/>
      </w:rPr>
    </w:lvl>
    <w:lvl w:ilvl="5" w:tplc="04090005" w:tentative="1">
      <w:start w:val="1"/>
      <w:numFmt w:val="bullet"/>
      <w:lvlText w:val=""/>
      <w:lvlJc w:val="left"/>
      <w:pPr>
        <w:ind w:left="4603" w:hanging="360"/>
      </w:pPr>
      <w:rPr>
        <w:rFonts w:ascii="Wingdings" w:hAnsi="Wingdings" w:hint="default"/>
      </w:rPr>
    </w:lvl>
    <w:lvl w:ilvl="6" w:tplc="04090001" w:tentative="1">
      <w:start w:val="1"/>
      <w:numFmt w:val="bullet"/>
      <w:lvlText w:val=""/>
      <w:lvlJc w:val="left"/>
      <w:pPr>
        <w:ind w:left="5323" w:hanging="360"/>
      </w:pPr>
      <w:rPr>
        <w:rFonts w:ascii="Symbol" w:hAnsi="Symbol" w:hint="default"/>
      </w:rPr>
    </w:lvl>
    <w:lvl w:ilvl="7" w:tplc="04090003" w:tentative="1">
      <w:start w:val="1"/>
      <w:numFmt w:val="bullet"/>
      <w:lvlText w:val="o"/>
      <w:lvlJc w:val="left"/>
      <w:pPr>
        <w:ind w:left="6043" w:hanging="360"/>
      </w:pPr>
      <w:rPr>
        <w:rFonts w:ascii="Courier New" w:hAnsi="Courier New" w:cs="Courier New" w:hint="default"/>
      </w:rPr>
    </w:lvl>
    <w:lvl w:ilvl="8" w:tplc="04090005" w:tentative="1">
      <w:start w:val="1"/>
      <w:numFmt w:val="bullet"/>
      <w:lvlText w:val=""/>
      <w:lvlJc w:val="left"/>
      <w:pPr>
        <w:ind w:left="6763" w:hanging="360"/>
      </w:pPr>
      <w:rPr>
        <w:rFonts w:ascii="Wingdings" w:hAnsi="Wingdings" w:hint="default"/>
      </w:rPr>
    </w:lvl>
  </w:abstractNum>
  <w:abstractNum w:abstractNumId="1">
    <w:nsid w:val="08387CBC"/>
    <w:multiLevelType w:val="hybridMultilevel"/>
    <w:tmpl w:val="FD58B3E8"/>
    <w:lvl w:ilvl="0" w:tplc="918C46C2">
      <w:start w:val="1"/>
      <w:numFmt w:val="decimal"/>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2">
    <w:nsid w:val="0B6A02E4"/>
    <w:multiLevelType w:val="hybridMultilevel"/>
    <w:tmpl w:val="AF42FA66"/>
    <w:lvl w:ilvl="0" w:tplc="4C80301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C53064"/>
    <w:multiLevelType w:val="hybridMultilevel"/>
    <w:tmpl w:val="719E5ED8"/>
    <w:lvl w:ilvl="0" w:tplc="0D5CD5C4">
      <w:start w:val="1"/>
      <w:numFmt w:val="lowerLetter"/>
      <w:lvlText w:val="(%1)"/>
      <w:lvlJc w:val="left"/>
      <w:pPr>
        <w:ind w:left="870" w:hanging="435"/>
      </w:pPr>
      <w:rPr>
        <w:rFonts w:cs="Times New Roman" w:hint="default"/>
        <w:i/>
      </w:rPr>
    </w:lvl>
    <w:lvl w:ilvl="1" w:tplc="1C090019">
      <w:start w:val="1"/>
      <w:numFmt w:val="lowerLetter"/>
      <w:lvlText w:val="%2."/>
      <w:lvlJc w:val="left"/>
      <w:pPr>
        <w:ind w:left="1515" w:hanging="360"/>
      </w:pPr>
      <w:rPr>
        <w:rFonts w:cs="Times New Roman"/>
      </w:rPr>
    </w:lvl>
    <w:lvl w:ilvl="2" w:tplc="1C09001B">
      <w:start w:val="1"/>
      <w:numFmt w:val="lowerRoman"/>
      <w:lvlText w:val="%3."/>
      <w:lvlJc w:val="right"/>
      <w:pPr>
        <w:ind w:left="2235" w:hanging="180"/>
      </w:pPr>
      <w:rPr>
        <w:rFonts w:cs="Times New Roman"/>
      </w:rPr>
    </w:lvl>
    <w:lvl w:ilvl="3" w:tplc="1C09000F">
      <w:start w:val="1"/>
      <w:numFmt w:val="decimal"/>
      <w:lvlText w:val="%4."/>
      <w:lvlJc w:val="left"/>
      <w:pPr>
        <w:ind w:left="2955" w:hanging="360"/>
      </w:pPr>
      <w:rPr>
        <w:rFonts w:cs="Times New Roman"/>
      </w:rPr>
    </w:lvl>
    <w:lvl w:ilvl="4" w:tplc="1C090019">
      <w:start w:val="1"/>
      <w:numFmt w:val="lowerLetter"/>
      <w:lvlText w:val="%5."/>
      <w:lvlJc w:val="left"/>
      <w:pPr>
        <w:ind w:left="3675" w:hanging="360"/>
      </w:pPr>
      <w:rPr>
        <w:rFonts w:cs="Times New Roman"/>
      </w:rPr>
    </w:lvl>
    <w:lvl w:ilvl="5" w:tplc="1C09001B">
      <w:start w:val="1"/>
      <w:numFmt w:val="lowerRoman"/>
      <w:lvlText w:val="%6."/>
      <w:lvlJc w:val="right"/>
      <w:pPr>
        <w:ind w:left="4395" w:hanging="180"/>
      </w:pPr>
      <w:rPr>
        <w:rFonts w:cs="Times New Roman"/>
      </w:rPr>
    </w:lvl>
    <w:lvl w:ilvl="6" w:tplc="1C09000F">
      <w:start w:val="1"/>
      <w:numFmt w:val="decimal"/>
      <w:lvlText w:val="%7."/>
      <w:lvlJc w:val="left"/>
      <w:pPr>
        <w:ind w:left="5115" w:hanging="360"/>
      </w:pPr>
      <w:rPr>
        <w:rFonts w:cs="Times New Roman"/>
      </w:rPr>
    </w:lvl>
    <w:lvl w:ilvl="7" w:tplc="1C090019">
      <w:start w:val="1"/>
      <w:numFmt w:val="lowerLetter"/>
      <w:lvlText w:val="%8."/>
      <w:lvlJc w:val="left"/>
      <w:pPr>
        <w:ind w:left="5835" w:hanging="360"/>
      </w:pPr>
      <w:rPr>
        <w:rFonts w:cs="Times New Roman"/>
      </w:rPr>
    </w:lvl>
    <w:lvl w:ilvl="8" w:tplc="1C09001B">
      <w:start w:val="1"/>
      <w:numFmt w:val="lowerRoman"/>
      <w:lvlText w:val="%9."/>
      <w:lvlJc w:val="right"/>
      <w:pPr>
        <w:ind w:left="6555" w:hanging="180"/>
      </w:pPr>
      <w:rPr>
        <w:rFonts w:cs="Times New Roman"/>
      </w:rPr>
    </w:lvl>
  </w:abstractNum>
  <w:abstractNum w:abstractNumId="4">
    <w:nsid w:val="15273BA7"/>
    <w:multiLevelType w:val="hybridMultilevel"/>
    <w:tmpl w:val="7048056A"/>
    <w:lvl w:ilvl="0" w:tplc="4510D2E6">
      <w:start w:val="1"/>
      <w:numFmt w:val="lowerLetter"/>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5">
    <w:nsid w:val="1AD74ECF"/>
    <w:multiLevelType w:val="hybridMultilevel"/>
    <w:tmpl w:val="451810D8"/>
    <w:lvl w:ilvl="0" w:tplc="1C090017">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6">
    <w:nsid w:val="1AE868D0"/>
    <w:multiLevelType w:val="hybridMultilevel"/>
    <w:tmpl w:val="7E64393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268B5055"/>
    <w:multiLevelType w:val="hybridMultilevel"/>
    <w:tmpl w:val="01E85B42"/>
    <w:lvl w:ilvl="0" w:tplc="3A20363C">
      <w:start w:val="1"/>
      <w:numFmt w:val="bullet"/>
      <w:lvlText w:val=""/>
      <w:lvlJc w:val="left"/>
      <w:pPr>
        <w:ind w:left="720" w:hanging="360"/>
      </w:pPr>
      <w:rPr>
        <w:rFonts w:ascii="Symbol" w:hAnsi="Symbol" w:hint="default"/>
        <w:color w:val="auto"/>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96673A8"/>
    <w:multiLevelType w:val="hybridMultilevel"/>
    <w:tmpl w:val="9C9480D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nsid w:val="2F8411B6"/>
    <w:multiLevelType w:val="hybridMultilevel"/>
    <w:tmpl w:val="B3368C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2BF7E7C"/>
    <w:multiLevelType w:val="multilevel"/>
    <w:tmpl w:val="1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3AD53C1B"/>
    <w:multiLevelType w:val="hybridMultilevel"/>
    <w:tmpl w:val="356E1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B0D3267"/>
    <w:multiLevelType w:val="hybridMultilevel"/>
    <w:tmpl w:val="EF620180"/>
    <w:lvl w:ilvl="0" w:tplc="2B2213E8">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FE60EBA"/>
    <w:multiLevelType w:val="hybridMultilevel"/>
    <w:tmpl w:val="5E0C57F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4">
    <w:nsid w:val="49627793"/>
    <w:multiLevelType w:val="hybridMultilevel"/>
    <w:tmpl w:val="F9BE78CC"/>
    <w:lvl w:ilvl="0" w:tplc="0409000F">
      <w:start w:val="1"/>
      <w:numFmt w:val="decimal"/>
      <w:lvlText w:val="%1."/>
      <w:lvlJc w:val="left"/>
      <w:pPr>
        <w:tabs>
          <w:tab w:val="num" w:pos="360"/>
        </w:tabs>
        <w:ind w:left="360" w:hanging="360"/>
      </w:pPr>
    </w:lvl>
    <w:lvl w:ilvl="1" w:tplc="D21884F0">
      <w:start w:val="1"/>
      <w:numFmt w:val="bullet"/>
      <w:lvlText w:val=""/>
      <w:lvlJc w:val="left"/>
      <w:pPr>
        <w:tabs>
          <w:tab w:val="num" w:pos="1080"/>
        </w:tabs>
        <w:ind w:left="1080" w:hanging="360"/>
      </w:pPr>
      <w:rPr>
        <w:rFonts w:ascii="Symbol" w:hAnsi="Symbol" w:hint="default"/>
        <w:color w:val="auto"/>
      </w:rPr>
    </w:lvl>
    <w:lvl w:ilvl="2" w:tplc="C91A7074">
      <w:start w:val="1"/>
      <w:numFmt w:val="lowerLetter"/>
      <w:lvlText w:val="(%3)"/>
      <w:lvlJc w:val="left"/>
      <w:pPr>
        <w:tabs>
          <w:tab w:val="num" w:pos="1980"/>
        </w:tabs>
        <w:ind w:left="1980" w:hanging="360"/>
      </w:pPr>
      <w:rPr>
        <w:rFonts w:hint="default"/>
      </w:r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nsid w:val="4C8D104B"/>
    <w:multiLevelType w:val="hybridMultilevel"/>
    <w:tmpl w:val="A31ABEA4"/>
    <w:lvl w:ilvl="0" w:tplc="1D140A1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nsid w:val="4CFA5D8E"/>
    <w:multiLevelType w:val="hybridMultilevel"/>
    <w:tmpl w:val="A31ABEA4"/>
    <w:lvl w:ilvl="0" w:tplc="1D140A1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nsid w:val="4F5E7FA1"/>
    <w:multiLevelType w:val="hybridMultilevel"/>
    <w:tmpl w:val="1868B362"/>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8">
    <w:nsid w:val="55F73AEA"/>
    <w:multiLevelType w:val="hybridMultilevel"/>
    <w:tmpl w:val="ECB6B2DA"/>
    <w:lvl w:ilvl="0" w:tplc="25D8515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55FE2D95"/>
    <w:multiLevelType w:val="hybridMultilevel"/>
    <w:tmpl w:val="C09EFBF4"/>
    <w:lvl w:ilvl="0" w:tplc="1C090017">
      <w:start w:val="1"/>
      <w:numFmt w:val="low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0">
    <w:nsid w:val="5D194692"/>
    <w:multiLevelType w:val="hybridMultilevel"/>
    <w:tmpl w:val="D34CA33A"/>
    <w:lvl w:ilvl="0" w:tplc="DA8E3A8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E261017"/>
    <w:multiLevelType w:val="hybridMultilevel"/>
    <w:tmpl w:val="CB8C5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0F26024"/>
    <w:multiLevelType w:val="hybridMultilevel"/>
    <w:tmpl w:val="556451BC"/>
    <w:lvl w:ilvl="0" w:tplc="E6443DB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60FE3DDB"/>
    <w:multiLevelType w:val="hybridMultilevel"/>
    <w:tmpl w:val="41385C08"/>
    <w:lvl w:ilvl="0" w:tplc="3A20363C">
      <w:start w:val="1"/>
      <w:numFmt w:val="bullet"/>
      <w:lvlText w:val=""/>
      <w:lvlJc w:val="left"/>
      <w:pPr>
        <w:ind w:left="720" w:hanging="360"/>
      </w:pPr>
      <w:rPr>
        <w:rFonts w:ascii="Symbol" w:hAnsi="Symbol" w:hint="default"/>
        <w:color w:val="auto"/>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3D361DC"/>
    <w:multiLevelType w:val="hybridMultilevel"/>
    <w:tmpl w:val="CAA0D7A2"/>
    <w:lvl w:ilvl="0" w:tplc="87EE5686">
      <w:start w:val="2"/>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67F20C26"/>
    <w:multiLevelType w:val="hybridMultilevel"/>
    <w:tmpl w:val="A74216DA"/>
    <w:lvl w:ilvl="0" w:tplc="7FF8DCAE">
      <w:start w:val="1"/>
      <w:numFmt w:val="lowerLetter"/>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6B2B1469"/>
    <w:multiLevelType w:val="hybridMultilevel"/>
    <w:tmpl w:val="F4620F50"/>
    <w:lvl w:ilvl="0" w:tplc="5352D00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C653A73"/>
    <w:multiLevelType w:val="hybridMultilevel"/>
    <w:tmpl w:val="F560E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2A91780"/>
    <w:multiLevelType w:val="hybridMultilevel"/>
    <w:tmpl w:val="9692C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FD137BC"/>
    <w:multiLevelType w:val="hybridMultilevel"/>
    <w:tmpl w:val="CFB29B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4"/>
  </w:num>
  <w:num w:numId="2">
    <w:abstractNumId w:val="14"/>
  </w:num>
  <w:num w:numId="3">
    <w:abstractNumId w:val="25"/>
  </w:num>
  <w:num w:numId="4">
    <w:abstractNumId w:val="20"/>
  </w:num>
  <w:num w:numId="5">
    <w:abstractNumId w:val="22"/>
  </w:num>
  <w:num w:numId="6">
    <w:abstractNumId w:val="9"/>
  </w:num>
  <w:num w:numId="7">
    <w:abstractNumId w:val="29"/>
  </w:num>
  <w:num w:numId="8">
    <w:abstractNumId w:val="3"/>
  </w:num>
  <w:num w:numId="9">
    <w:abstractNumId w:val="5"/>
  </w:num>
  <w:num w:numId="10">
    <w:abstractNumId w:val="2"/>
  </w:num>
  <w:num w:numId="11">
    <w:abstractNumId w:val="28"/>
  </w:num>
  <w:num w:numId="12">
    <w:abstractNumId w:val="27"/>
  </w:num>
  <w:num w:numId="13">
    <w:abstractNumId w:val="11"/>
  </w:num>
  <w:num w:numId="14">
    <w:abstractNumId w:val="10"/>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num>
  <w:num w:numId="17">
    <w:abstractNumId w:val="13"/>
  </w:num>
  <w:num w:numId="18">
    <w:abstractNumId w:val="16"/>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num>
  <w:num w:numId="21">
    <w:abstractNumId w:val="1"/>
  </w:num>
  <w:num w:numId="22">
    <w:abstractNumId w:val="12"/>
  </w:num>
  <w:num w:numId="23">
    <w:abstractNumId w:val="26"/>
  </w:num>
  <w:num w:numId="24">
    <w:abstractNumId w:val="23"/>
  </w:num>
  <w:num w:numId="25">
    <w:abstractNumId w:val="8"/>
  </w:num>
  <w:num w:numId="26">
    <w:abstractNumId w:val="0"/>
  </w:num>
  <w:num w:numId="27">
    <w:abstractNumId w:val="21"/>
  </w:num>
  <w:num w:numId="28">
    <w:abstractNumId w:val="7"/>
  </w:num>
  <w:num w:numId="29">
    <w:abstractNumId w:val="19"/>
  </w:num>
  <w:num w:numId="3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3EA9"/>
    <w:rsid w:val="00021235"/>
    <w:rsid w:val="000321BB"/>
    <w:rsid w:val="00062DD5"/>
    <w:rsid w:val="00063BEC"/>
    <w:rsid w:val="000652CF"/>
    <w:rsid w:val="00083AEF"/>
    <w:rsid w:val="000A0468"/>
    <w:rsid w:val="000A7617"/>
    <w:rsid w:val="000B0B7B"/>
    <w:rsid w:val="000F5A12"/>
    <w:rsid w:val="00103C6B"/>
    <w:rsid w:val="00104D29"/>
    <w:rsid w:val="001131D9"/>
    <w:rsid w:val="00120022"/>
    <w:rsid w:val="001433AE"/>
    <w:rsid w:val="00143488"/>
    <w:rsid w:val="00152E82"/>
    <w:rsid w:val="0015676C"/>
    <w:rsid w:val="00166953"/>
    <w:rsid w:val="00175842"/>
    <w:rsid w:val="001837AD"/>
    <w:rsid w:val="001C51A3"/>
    <w:rsid w:val="001E4908"/>
    <w:rsid w:val="001E6902"/>
    <w:rsid w:val="001F223B"/>
    <w:rsid w:val="00200E92"/>
    <w:rsid w:val="0021081B"/>
    <w:rsid w:val="0021147E"/>
    <w:rsid w:val="00247658"/>
    <w:rsid w:val="00252C87"/>
    <w:rsid w:val="002549F9"/>
    <w:rsid w:val="00257D88"/>
    <w:rsid w:val="002722CF"/>
    <w:rsid w:val="00290180"/>
    <w:rsid w:val="002B73C2"/>
    <w:rsid w:val="002F5E69"/>
    <w:rsid w:val="00303310"/>
    <w:rsid w:val="00310C5A"/>
    <w:rsid w:val="00323CC8"/>
    <w:rsid w:val="00355B4E"/>
    <w:rsid w:val="00366412"/>
    <w:rsid w:val="003B5D8E"/>
    <w:rsid w:val="003D36F1"/>
    <w:rsid w:val="003F0AC4"/>
    <w:rsid w:val="00433463"/>
    <w:rsid w:val="0048061D"/>
    <w:rsid w:val="00487065"/>
    <w:rsid w:val="004A5ED5"/>
    <w:rsid w:val="004B4052"/>
    <w:rsid w:val="004C5679"/>
    <w:rsid w:val="004C7422"/>
    <w:rsid w:val="00501C0E"/>
    <w:rsid w:val="005141B3"/>
    <w:rsid w:val="00524983"/>
    <w:rsid w:val="00530F50"/>
    <w:rsid w:val="005A30FB"/>
    <w:rsid w:val="00603762"/>
    <w:rsid w:val="006042E4"/>
    <w:rsid w:val="00613FC6"/>
    <w:rsid w:val="006276BD"/>
    <w:rsid w:val="00633A85"/>
    <w:rsid w:val="00642A1D"/>
    <w:rsid w:val="00684AAB"/>
    <w:rsid w:val="00695A9A"/>
    <w:rsid w:val="006B1504"/>
    <w:rsid w:val="006B5828"/>
    <w:rsid w:val="006E426E"/>
    <w:rsid w:val="00702034"/>
    <w:rsid w:val="00716D12"/>
    <w:rsid w:val="00736CFE"/>
    <w:rsid w:val="00742375"/>
    <w:rsid w:val="00753BF8"/>
    <w:rsid w:val="00757B99"/>
    <w:rsid w:val="0076584C"/>
    <w:rsid w:val="0079063F"/>
    <w:rsid w:val="007B351C"/>
    <w:rsid w:val="007B66A0"/>
    <w:rsid w:val="007E1245"/>
    <w:rsid w:val="00807F57"/>
    <w:rsid w:val="00810D64"/>
    <w:rsid w:val="00814F3C"/>
    <w:rsid w:val="00823EA9"/>
    <w:rsid w:val="008316CA"/>
    <w:rsid w:val="0085417E"/>
    <w:rsid w:val="0087366B"/>
    <w:rsid w:val="0087557B"/>
    <w:rsid w:val="00892134"/>
    <w:rsid w:val="008B5B10"/>
    <w:rsid w:val="008D26AB"/>
    <w:rsid w:val="008D419D"/>
    <w:rsid w:val="008E1486"/>
    <w:rsid w:val="0091205F"/>
    <w:rsid w:val="00956BFC"/>
    <w:rsid w:val="00957F87"/>
    <w:rsid w:val="0096291A"/>
    <w:rsid w:val="009A18A7"/>
    <w:rsid w:val="009B5029"/>
    <w:rsid w:val="009D33D8"/>
    <w:rsid w:val="009D71C6"/>
    <w:rsid w:val="00A139DE"/>
    <w:rsid w:val="00A32409"/>
    <w:rsid w:val="00A42134"/>
    <w:rsid w:val="00A61AD6"/>
    <w:rsid w:val="00A6413D"/>
    <w:rsid w:val="00A65EA0"/>
    <w:rsid w:val="00A72104"/>
    <w:rsid w:val="00A86AE1"/>
    <w:rsid w:val="00A959A6"/>
    <w:rsid w:val="00A966C3"/>
    <w:rsid w:val="00AA1288"/>
    <w:rsid w:val="00AA17BB"/>
    <w:rsid w:val="00AA5C67"/>
    <w:rsid w:val="00AB4FAB"/>
    <w:rsid w:val="00AD0537"/>
    <w:rsid w:val="00AF50AE"/>
    <w:rsid w:val="00B20992"/>
    <w:rsid w:val="00B34119"/>
    <w:rsid w:val="00B409C6"/>
    <w:rsid w:val="00B41B55"/>
    <w:rsid w:val="00B75338"/>
    <w:rsid w:val="00B9147B"/>
    <w:rsid w:val="00B940DF"/>
    <w:rsid w:val="00BA1416"/>
    <w:rsid w:val="00BB1CB3"/>
    <w:rsid w:val="00BC3017"/>
    <w:rsid w:val="00BE0961"/>
    <w:rsid w:val="00BF4193"/>
    <w:rsid w:val="00BF6291"/>
    <w:rsid w:val="00C02CE0"/>
    <w:rsid w:val="00C330AD"/>
    <w:rsid w:val="00C44C35"/>
    <w:rsid w:val="00C540F1"/>
    <w:rsid w:val="00C71D82"/>
    <w:rsid w:val="00CA5187"/>
    <w:rsid w:val="00CA56BB"/>
    <w:rsid w:val="00CB3CED"/>
    <w:rsid w:val="00CD2FFD"/>
    <w:rsid w:val="00CD717F"/>
    <w:rsid w:val="00D0120D"/>
    <w:rsid w:val="00D014D8"/>
    <w:rsid w:val="00D252CF"/>
    <w:rsid w:val="00D26B3A"/>
    <w:rsid w:val="00D32984"/>
    <w:rsid w:val="00D71DE6"/>
    <w:rsid w:val="00D747FF"/>
    <w:rsid w:val="00D96460"/>
    <w:rsid w:val="00DB6B3C"/>
    <w:rsid w:val="00DC703C"/>
    <w:rsid w:val="00DF125F"/>
    <w:rsid w:val="00DF44DD"/>
    <w:rsid w:val="00E21152"/>
    <w:rsid w:val="00E26C88"/>
    <w:rsid w:val="00E32136"/>
    <w:rsid w:val="00E44AF7"/>
    <w:rsid w:val="00E6523B"/>
    <w:rsid w:val="00E710E6"/>
    <w:rsid w:val="00E71AA2"/>
    <w:rsid w:val="00E72933"/>
    <w:rsid w:val="00E77DF6"/>
    <w:rsid w:val="00E819FA"/>
    <w:rsid w:val="00E84B1C"/>
    <w:rsid w:val="00EA5314"/>
    <w:rsid w:val="00EA6440"/>
    <w:rsid w:val="00EB0EA7"/>
    <w:rsid w:val="00ED1AA3"/>
    <w:rsid w:val="00ED4459"/>
    <w:rsid w:val="00ED5918"/>
    <w:rsid w:val="00ED6014"/>
    <w:rsid w:val="00EE38AD"/>
    <w:rsid w:val="00F1697A"/>
    <w:rsid w:val="00F24B8C"/>
    <w:rsid w:val="00F24EF0"/>
    <w:rsid w:val="00F44D10"/>
    <w:rsid w:val="00FA66F6"/>
    <w:rsid w:val="00FC2B87"/>
    <w:rsid w:val="00FC6990"/>
    <w:rsid w:val="00FF7649"/>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ZA" w:eastAsia="en-Z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3AE"/>
    <w:rPr>
      <w:sz w:val="24"/>
      <w:szCs w:val="24"/>
      <w:lang w:val="en-GB" w:eastAsia="en-US"/>
    </w:rPr>
  </w:style>
  <w:style w:type="paragraph" w:styleId="Heading1">
    <w:name w:val="heading 1"/>
    <w:basedOn w:val="Normal"/>
    <w:next w:val="Normal"/>
    <w:qFormat/>
    <w:rsid w:val="001433AE"/>
    <w:pPr>
      <w:keepNext/>
      <w:tabs>
        <w:tab w:val="left" w:pos="432"/>
        <w:tab w:val="left" w:pos="864"/>
      </w:tabs>
      <w:spacing w:before="100" w:beforeAutospacing="1"/>
      <w:ind w:left="720"/>
      <w:jc w:val="center"/>
      <w:outlineLvl w:val="0"/>
    </w:pPr>
    <w:rPr>
      <w:b/>
    </w:rPr>
  </w:style>
  <w:style w:type="paragraph" w:styleId="Heading2">
    <w:name w:val="heading 2"/>
    <w:basedOn w:val="Normal"/>
    <w:next w:val="Normal"/>
    <w:qFormat/>
    <w:rsid w:val="00956BFC"/>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1433AE"/>
    <w:pPr>
      <w:tabs>
        <w:tab w:val="left" w:pos="432"/>
        <w:tab w:val="left" w:pos="864"/>
      </w:tabs>
      <w:spacing w:line="480" w:lineRule="auto"/>
      <w:ind w:left="1094" w:hanging="547"/>
    </w:pPr>
  </w:style>
  <w:style w:type="paragraph" w:customStyle="1" w:styleId="a">
    <w:basedOn w:val="Normal"/>
    <w:rsid w:val="001433AE"/>
    <w:rPr>
      <w:rFonts w:ascii="Arial" w:hAnsi="Arial" w:cs="Arial"/>
      <w:sz w:val="22"/>
      <w:szCs w:val="22"/>
      <w:lang w:val="en-AU"/>
    </w:rPr>
  </w:style>
  <w:style w:type="paragraph" w:customStyle="1" w:styleId="CharCharCharCharCharChar">
    <w:name w:val="Char Char Char Char Char Char"/>
    <w:basedOn w:val="Normal"/>
    <w:semiHidden/>
    <w:rsid w:val="00956BFC"/>
    <w:pPr>
      <w:spacing w:after="240" w:line="24" w:lineRule="atLeast"/>
      <w:jc w:val="both"/>
    </w:pPr>
    <w:rPr>
      <w:rFonts w:ascii="Arial" w:hAnsi="Arial"/>
      <w:bCs/>
      <w:sz w:val="22"/>
    </w:rPr>
  </w:style>
  <w:style w:type="paragraph" w:customStyle="1" w:styleId="CharChar1CharCharCharCharCharCharCharCharCharCharChar">
    <w:name w:val="Char Char1 Char Char Char Char Char Char Char Char Char Char Char"/>
    <w:basedOn w:val="Normal"/>
    <w:rsid w:val="00A42134"/>
    <w:pPr>
      <w:spacing w:after="160" w:line="240" w:lineRule="exact"/>
    </w:pPr>
    <w:rPr>
      <w:rFonts w:ascii="Verdana" w:hAnsi="Verdana"/>
      <w:sz w:val="20"/>
      <w:szCs w:val="20"/>
      <w:lang w:val="en-US"/>
    </w:rPr>
  </w:style>
  <w:style w:type="paragraph" w:customStyle="1" w:styleId="TTI">
    <w:name w:val="TTI"/>
    <w:rsid w:val="000652CF"/>
    <w:pPr>
      <w:widowControl w:val="0"/>
      <w:tabs>
        <w:tab w:val="left" w:pos="431"/>
        <w:tab w:val="left" w:pos="864"/>
        <w:tab w:val="left" w:pos="1440"/>
        <w:tab w:val="left" w:pos="2015"/>
        <w:tab w:val="left" w:pos="2591"/>
        <w:tab w:val="left" w:pos="3311"/>
      </w:tabs>
      <w:autoSpaceDE w:val="0"/>
      <w:autoSpaceDN w:val="0"/>
      <w:adjustRightInd w:val="0"/>
      <w:ind w:left="1440" w:hanging="1440"/>
    </w:pPr>
    <w:rPr>
      <w:rFonts w:eastAsia="Calibri"/>
      <w:sz w:val="24"/>
      <w:szCs w:val="24"/>
      <w:lang w:val="en-US" w:eastAsia="en-US"/>
    </w:rPr>
  </w:style>
  <w:style w:type="paragraph" w:styleId="BodyTextIndent2">
    <w:name w:val="Body Text Indent 2"/>
    <w:basedOn w:val="Normal"/>
    <w:rsid w:val="00695A9A"/>
    <w:pPr>
      <w:spacing w:after="120" w:line="480" w:lineRule="auto"/>
      <w:ind w:left="283"/>
    </w:pPr>
  </w:style>
  <w:style w:type="character" w:customStyle="1" w:styleId="BodyTextIndentChar">
    <w:name w:val="Body Text Indent Char"/>
    <w:link w:val="BodyTextIndent"/>
    <w:rsid w:val="001F223B"/>
    <w:rPr>
      <w:sz w:val="24"/>
      <w:szCs w:val="24"/>
      <w:lang w:val="en-GB" w:eastAsia="en-US"/>
    </w:rPr>
  </w:style>
  <w:style w:type="table" w:styleId="TableGrid">
    <w:name w:val="Table Grid"/>
    <w:basedOn w:val="TableNormal"/>
    <w:rsid w:val="005249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EA5314"/>
    <w:rPr>
      <w:rFonts w:ascii="Tahoma" w:hAnsi="Tahoma"/>
      <w:sz w:val="16"/>
      <w:szCs w:val="16"/>
    </w:rPr>
  </w:style>
  <w:style w:type="character" w:customStyle="1" w:styleId="BalloonTextChar">
    <w:name w:val="Balloon Text Char"/>
    <w:link w:val="BalloonText"/>
    <w:rsid w:val="00EA5314"/>
    <w:rPr>
      <w:rFonts w:ascii="Tahoma" w:hAnsi="Tahoma" w:cs="Tahoma"/>
      <w:sz w:val="16"/>
      <w:szCs w:val="16"/>
      <w:lang w:val="en-GB"/>
    </w:rPr>
  </w:style>
  <w:style w:type="paragraph" w:styleId="ListParagraph">
    <w:name w:val="List Paragraph"/>
    <w:basedOn w:val="Normal"/>
    <w:uiPriority w:val="34"/>
    <w:qFormat/>
    <w:rsid w:val="003B5D8E"/>
    <w:pPr>
      <w:ind w:left="720"/>
      <w:contextualSpacing/>
    </w:pPr>
  </w:style>
  <w:style w:type="paragraph" w:customStyle="1" w:styleId="Default">
    <w:name w:val="Default"/>
    <w:rsid w:val="007E1245"/>
    <w:pPr>
      <w:autoSpaceDE w:val="0"/>
      <w:autoSpaceDN w:val="0"/>
      <w:adjustRightInd w:val="0"/>
    </w:pPr>
    <w:rPr>
      <w:color w:val="000000"/>
      <w:sz w:val="24"/>
      <w:szCs w:val="24"/>
    </w:rPr>
  </w:style>
  <w:style w:type="paragraph" w:styleId="Header">
    <w:name w:val="header"/>
    <w:basedOn w:val="Normal"/>
    <w:link w:val="HeaderChar"/>
    <w:unhideWhenUsed/>
    <w:rsid w:val="00DC703C"/>
    <w:pPr>
      <w:tabs>
        <w:tab w:val="center" w:pos="4680"/>
        <w:tab w:val="right" w:pos="9360"/>
      </w:tabs>
    </w:pPr>
  </w:style>
  <w:style w:type="character" w:customStyle="1" w:styleId="HeaderChar">
    <w:name w:val="Header Char"/>
    <w:basedOn w:val="DefaultParagraphFont"/>
    <w:link w:val="Header"/>
    <w:rsid w:val="00DC703C"/>
    <w:rPr>
      <w:sz w:val="24"/>
      <w:szCs w:val="24"/>
      <w:lang w:val="en-GB" w:eastAsia="en-US"/>
    </w:rPr>
  </w:style>
  <w:style w:type="paragraph" w:styleId="Footer">
    <w:name w:val="footer"/>
    <w:basedOn w:val="Normal"/>
    <w:link w:val="FooterChar"/>
    <w:uiPriority w:val="99"/>
    <w:unhideWhenUsed/>
    <w:rsid w:val="00DC703C"/>
    <w:pPr>
      <w:tabs>
        <w:tab w:val="center" w:pos="4680"/>
        <w:tab w:val="right" w:pos="9360"/>
      </w:tabs>
    </w:pPr>
  </w:style>
  <w:style w:type="character" w:customStyle="1" w:styleId="FooterChar">
    <w:name w:val="Footer Char"/>
    <w:basedOn w:val="DefaultParagraphFont"/>
    <w:link w:val="Footer"/>
    <w:uiPriority w:val="99"/>
    <w:rsid w:val="00DC703C"/>
    <w:rPr>
      <w:sz w:val="24"/>
      <w:szCs w:val="24"/>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ZA" w:eastAsia="en-Z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3AE"/>
    <w:rPr>
      <w:sz w:val="24"/>
      <w:szCs w:val="24"/>
      <w:lang w:val="en-GB" w:eastAsia="en-US"/>
    </w:rPr>
  </w:style>
  <w:style w:type="paragraph" w:styleId="Heading1">
    <w:name w:val="heading 1"/>
    <w:basedOn w:val="Normal"/>
    <w:next w:val="Normal"/>
    <w:qFormat/>
    <w:rsid w:val="001433AE"/>
    <w:pPr>
      <w:keepNext/>
      <w:tabs>
        <w:tab w:val="left" w:pos="432"/>
        <w:tab w:val="left" w:pos="864"/>
      </w:tabs>
      <w:spacing w:before="100" w:beforeAutospacing="1"/>
      <w:ind w:left="720"/>
      <w:jc w:val="center"/>
      <w:outlineLvl w:val="0"/>
    </w:pPr>
    <w:rPr>
      <w:b/>
    </w:rPr>
  </w:style>
  <w:style w:type="paragraph" w:styleId="Heading2">
    <w:name w:val="heading 2"/>
    <w:basedOn w:val="Normal"/>
    <w:next w:val="Normal"/>
    <w:qFormat/>
    <w:rsid w:val="00956BFC"/>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1433AE"/>
    <w:pPr>
      <w:tabs>
        <w:tab w:val="left" w:pos="432"/>
        <w:tab w:val="left" w:pos="864"/>
      </w:tabs>
      <w:spacing w:line="480" w:lineRule="auto"/>
      <w:ind w:left="1094" w:hanging="547"/>
    </w:pPr>
  </w:style>
  <w:style w:type="paragraph" w:customStyle="1" w:styleId="a">
    <w:basedOn w:val="Normal"/>
    <w:rsid w:val="001433AE"/>
    <w:rPr>
      <w:rFonts w:ascii="Arial" w:hAnsi="Arial" w:cs="Arial"/>
      <w:sz w:val="22"/>
      <w:szCs w:val="22"/>
      <w:lang w:val="en-AU"/>
    </w:rPr>
  </w:style>
  <w:style w:type="paragraph" w:customStyle="1" w:styleId="CharCharCharCharCharChar">
    <w:name w:val="Char Char Char Char Char Char"/>
    <w:basedOn w:val="Normal"/>
    <w:semiHidden/>
    <w:rsid w:val="00956BFC"/>
    <w:pPr>
      <w:spacing w:after="240" w:line="24" w:lineRule="atLeast"/>
      <w:jc w:val="both"/>
    </w:pPr>
    <w:rPr>
      <w:rFonts w:ascii="Arial" w:hAnsi="Arial"/>
      <w:bCs/>
      <w:sz w:val="22"/>
    </w:rPr>
  </w:style>
  <w:style w:type="paragraph" w:customStyle="1" w:styleId="CharChar1CharCharCharCharCharCharCharCharCharCharChar">
    <w:name w:val="Char Char1 Char Char Char Char Char Char Char Char Char Char Char"/>
    <w:basedOn w:val="Normal"/>
    <w:rsid w:val="00A42134"/>
    <w:pPr>
      <w:spacing w:after="160" w:line="240" w:lineRule="exact"/>
    </w:pPr>
    <w:rPr>
      <w:rFonts w:ascii="Verdana" w:hAnsi="Verdana"/>
      <w:sz w:val="20"/>
      <w:szCs w:val="20"/>
      <w:lang w:val="en-US"/>
    </w:rPr>
  </w:style>
  <w:style w:type="paragraph" w:customStyle="1" w:styleId="TTI">
    <w:name w:val="TTI"/>
    <w:rsid w:val="000652CF"/>
    <w:pPr>
      <w:widowControl w:val="0"/>
      <w:tabs>
        <w:tab w:val="left" w:pos="431"/>
        <w:tab w:val="left" w:pos="864"/>
        <w:tab w:val="left" w:pos="1440"/>
        <w:tab w:val="left" w:pos="2015"/>
        <w:tab w:val="left" w:pos="2591"/>
        <w:tab w:val="left" w:pos="3311"/>
      </w:tabs>
      <w:autoSpaceDE w:val="0"/>
      <w:autoSpaceDN w:val="0"/>
      <w:adjustRightInd w:val="0"/>
      <w:ind w:left="1440" w:hanging="1440"/>
    </w:pPr>
    <w:rPr>
      <w:rFonts w:eastAsia="Calibri"/>
      <w:sz w:val="24"/>
      <w:szCs w:val="24"/>
      <w:lang w:val="en-US" w:eastAsia="en-US"/>
    </w:rPr>
  </w:style>
  <w:style w:type="paragraph" w:styleId="BodyTextIndent2">
    <w:name w:val="Body Text Indent 2"/>
    <w:basedOn w:val="Normal"/>
    <w:rsid w:val="00695A9A"/>
    <w:pPr>
      <w:spacing w:after="120" w:line="480" w:lineRule="auto"/>
      <w:ind w:left="283"/>
    </w:pPr>
  </w:style>
  <w:style w:type="character" w:customStyle="1" w:styleId="BodyTextIndentChar">
    <w:name w:val="Body Text Indent Char"/>
    <w:link w:val="BodyTextIndent"/>
    <w:rsid w:val="001F223B"/>
    <w:rPr>
      <w:sz w:val="24"/>
      <w:szCs w:val="24"/>
      <w:lang w:val="en-GB" w:eastAsia="en-US"/>
    </w:rPr>
  </w:style>
  <w:style w:type="table" w:styleId="TableGrid">
    <w:name w:val="Table Grid"/>
    <w:basedOn w:val="TableNormal"/>
    <w:rsid w:val="005249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EA5314"/>
    <w:rPr>
      <w:rFonts w:ascii="Tahoma" w:hAnsi="Tahoma"/>
      <w:sz w:val="16"/>
      <w:szCs w:val="16"/>
    </w:rPr>
  </w:style>
  <w:style w:type="character" w:customStyle="1" w:styleId="BalloonTextChar">
    <w:name w:val="Balloon Text Char"/>
    <w:link w:val="BalloonText"/>
    <w:rsid w:val="00EA5314"/>
    <w:rPr>
      <w:rFonts w:ascii="Tahoma" w:hAnsi="Tahoma" w:cs="Tahoma"/>
      <w:sz w:val="16"/>
      <w:szCs w:val="16"/>
      <w:lang w:val="en-GB"/>
    </w:rPr>
  </w:style>
  <w:style w:type="paragraph" w:styleId="ListParagraph">
    <w:name w:val="List Paragraph"/>
    <w:basedOn w:val="Normal"/>
    <w:uiPriority w:val="34"/>
    <w:qFormat/>
    <w:rsid w:val="003B5D8E"/>
    <w:pPr>
      <w:ind w:left="720"/>
      <w:contextualSpacing/>
    </w:pPr>
  </w:style>
  <w:style w:type="paragraph" w:customStyle="1" w:styleId="Default">
    <w:name w:val="Default"/>
    <w:rsid w:val="007E1245"/>
    <w:pPr>
      <w:autoSpaceDE w:val="0"/>
      <w:autoSpaceDN w:val="0"/>
      <w:adjustRightInd w:val="0"/>
    </w:pPr>
    <w:rPr>
      <w:color w:val="000000"/>
      <w:sz w:val="24"/>
      <w:szCs w:val="24"/>
    </w:rPr>
  </w:style>
  <w:style w:type="paragraph" w:styleId="Header">
    <w:name w:val="header"/>
    <w:basedOn w:val="Normal"/>
    <w:link w:val="HeaderChar"/>
    <w:unhideWhenUsed/>
    <w:rsid w:val="00DC703C"/>
    <w:pPr>
      <w:tabs>
        <w:tab w:val="center" w:pos="4680"/>
        <w:tab w:val="right" w:pos="9360"/>
      </w:tabs>
    </w:pPr>
  </w:style>
  <w:style w:type="character" w:customStyle="1" w:styleId="HeaderChar">
    <w:name w:val="Header Char"/>
    <w:basedOn w:val="DefaultParagraphFont"/>
    <w:link w:val="Header"/>
    <w:rsid w:val="00DC703C"/>
    <w:rPr>
      <w:sz w:val="24"/>
      <w:szCs w:val="24"/>
      <w:lang w:val="en-GB" w:eastAsia="en-US"/>
    </w:rPr>
  </w:style>
  <w:style w:type="paragraph" w:styleId="Footer">
    <w:name w:val="footer"/>
    <w:basedOn w:val="Normal"/>
    <w:link w:val="FooterChar"/>
    <w:uiPriority w:val="99"/>
    <w:unhideWhenUsed/>
    <w:rsid w:val="00DC703C"/>
    <w:pPr>
      <w:tabs>
        <w:tab w:val="center" w:pos="4680"/>
        <w:tab w:val="right" w:pos="9360"/>
      </w:tabs>
    </w:pPr>
  </w:style>
  <w:style w:type="character" w:customStyle="1" w:styleId="FooterChar">
    <w:name w:val="Footer Char"/>
    <w:basedOn w:val="DefaultParagraphFont"/>
    <w:link w:val="Footer"/>
    <w:uiPriority w:val="99"/>
    <w:rsid w:val="00DC703C"/>
    <w:rPr>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040719">
      <w:bodyDiv w:val="1"/>
      <w:marLeft w:val="0"/>
      <w:marRight w:val="0"/>
      <w:marTop w:val="0"/>
      <w:marBottom w:val="0"/>
      <w:divBdr>
        <w:top w:val="none" w:sz="0" w:space="0" w:color="auto"/>
        <w:left w:val="none" w:sz="0" w:space="0" w:color="auto"/>
        <w:bottom w:val="none" w:sz="0" w:space="0" w:color="auto"/>
        <w:right w:val="none" w:sz="0" w:space="0" w:color="auto"/>
      </w:divBdr>
    </w:div>
    <w:div w:id="280695450">
      <w:bodyDiv w:val="1"/>
      <w:marLeft w:val="0"/>
      <w:marRight w:val="0"/>
      <w:marTop w:val="0"/>
      <w:marBottom w:val="0"/>
      <w:divBdr>
        <w:top w:val="none" w:sz="0" w:space="0" w:color="auto"/>
        <w:left w:val="none" w:sz="0" w:space="0" w:color="auto"/>
        <w:bottom w:val="none" w:sz="0" w:space="0" w:color="auto"/>
        <w:right w:val="none" w:sz="0" w:space="0" w:color="auto"/>
      </w:divBdr>
    </w:div>
    <w:div w:id="313878317">
      <w:bodyDiv w:val="1"/>
      <w:marLeft w:val="0"/>
      <w:marRight w:val="0"/>
      <w:marTop w:val="0"/>
      <w:marBottom w:val="0"/>
      <w:divBdr>
        <w:top w:val="none" w:sz="0" w:space="0" w:color="auto"/>
        <w:left w:val="none" w:sz="0" w:space="0" w:color="auto"/>
        <w:bottom w:val="none" w:sz="0" w:space="0" w:color="auto"/>
        <w:right w:val="none" w:sz="0" w:space="0" w:color="auto"/>
      </w:divBdr>
    </w:div>
    <w:div w:id="374693304">
      <w:bodyDiv w:val="1"/>
      <w:marLeft w:val="0"/>
      <w:marRight w:val="0"/>
      <w:marTop w:val="0"/>
      <w:marBottom w:val="0"/>
      <w:divBdr>
        <w:top w:val="none" w:sz="0" w:space="0" w:color="auto"/>
        <w:left w:val="none" w:sz="0" w:space="0" w:color="auto"/>
        <w:bottom w:val="none" w:sz="0" w:space="0" w:color="auto"/>
        <w:right w:val="none" w:sz="0" w:space="0" w:color="auto"/>
      </w:divBdr>
    </w:div>
    <w:div w:id="517699200">
      <w:bodyDiv w:val="1"/>
      <w:marLeft w:val="0"/>
      <w:marRight w:val="0"/>
      <w:marTop w:val="0"/>
      <w:marBottom w:val="0"/>
      <w:divBdr>
        <w:top w:val="none" w:sz="0" w:space="0" w:color="auto"/>
        <w:left w:val="none" w:sz="0" w:space="0" w:color="auto"/>
        <w:bottom w:val="none" w:sz="0" w:space="0" w:color="auto"/>
        <w:right w:val="none" w:sz="0" w:space="0" w:color="auto"/>
      </w:divBdr>
    </w:div>
    <w:div w:id="792869642">
      <w:bodyDiv w:val="1"/>
      <w:marLeft w:val="0"/>
      <w:marRight w:val="0"/>
      <w:marTop w:val="0"/>
      <w:marBottom w:val="0"/>
      <w:divBdr>
        <w:top w:val="none" w:sz="0" w:space="0" w:color="auto"/>
        <w:left w:val="none" w:sz="0" w:space="0" w:color="auto"/>
        <w:bottom w:val="none" w:sz="0" w:space="0" w:color="auto"/>
        <w:right w:val="none" w:sz="0" w:space="0" w:color="auto"/>
      </w:divBdr>
    </w:div>
    <w:div w:id="922027191">
      <w:bodyDiv w:val="1"/>
      <w:marLeft w:val="0"/>
      <w:marRight w:val="0"/>
      <w:marTop w:val="0"/>
      <w:marBottom w:val="0"/>
      <w:divBdr>
        <w:top w:val="none" w:sz="0" w:space="0" w:color="auto"/>
        <w:left w:val="none" w:sz="0" w:space="0" w:color="auto"/>
        <w:bottom w:val="none" w:sz="0" w:space="0" w:color="auto"/>
        <w:right w:val="none" w:sz="0" w:space="0" w:color="auto"/>
      </w:divBdr>
    </w:div>
    <w:div w:id="1411345120">
      <w:bodyDiv w:val="1"/>
      <w:marLeft w:val="0"/>
      <w:marRight w:val="0"/>
      <w:marTop w:val="0"/>
      <w:marBottom w:val="0"/>
      <w:divBdr>
        <w:top w:val="none" w:sz="0" w:space="0" w:color="auto"/>
        <w:left w:val="none" w:sz="0" w:space="0" w:color="auto"/>
        <w:bottom w:val="none" w:sz="0" w:space="0" w:color="auto"/>
        <w:right w:val="none" w:sz="0" w:space="0" w:color="auto"/>
      </w:divBdr>
    </w:div>
    <w:div w:id="1468013337">
      <w:bodyDiv w:val="1"/>
      <w:marLeft w:val="0"/>
      <w:marRight w:val="0"/>
      <w:marTop w:val="0"/>
      <w:marBottom w:val="0"/>
      <w:divBdr>
        <w:top w:val="none" w:sz="0" w:space="0" w:color="auto"/>
        <w:left w:val="none" w:sz="0" w:space="0" w:color="auto"/>
        <w:bottom w:val="none" w:sz="0" w:space="0" w:color="auto"/>
        <w:right w:val="none" w:sz="0" w:space="0" w:color="auto"/>
      </w:divBdr>
    </w:div>
    <w:div w:id="1709991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633009-7CE2-406E-BFBA-887BD54655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1029</Words>
  <Characters>5866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NATIONAL ASSEMBLY</vt:lpstr>
    </vt:vector>
  </TitlesOfParts>
  <Company>National Treasury</Company>
  <LinksUpToDate>false</LinksUpToDate>
  <CharactersWithSpaces>6882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Lindile Batwa</dc:creator>
  <cp:lastModifiedBy>Samuel Mandiwana</cp:lastModifiedBy>
  <cp:revision>2</cp:revision>
  <cp:lastPrinted>2017-09-06T11:38:00Z</cp:lastPrinted>
  <dcterms:created xsi:type="dcterms:W3CDTF">2017-09-14T12:27:00Z</dcterms:created>
  <dcterms:modified xsi:type="dcterms:W3CDTF">2017-09-14T12:27:00Z</dcterms:modified>
</cp:coreProperties>
</file>