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AF5C" w14:textId="77777777" w:rsidR="004722F6" w:rsidRPr="004722F6" w:rsidRDefault="004722F6" w:rsidP="004722F6">
      <w:pPr>
        <w:rPr>
          <w:rFonts w:ascii="Arial" w:hAnsi="Arial" w:cs="Arial"/>
        </w:rPr>
      </w:pPr>
      <w:bookmarkStart w:id="0" w:name="_GoBack"/>
      <w:bookmarkEnd w:id="0"/>
    </w:p>
    <w:p w14:paraId="2D741A04" w14:textId="77777777" w:rsidR="00A36976" w:rsidRDefault="00895CCB" w:rsidP="00A36976">
      <w:r>
        <w:rPr>
          <w:noProof/>
        </w:rPr>
        <w:object w:dxaOrig="1440" w:dyaOrig="1440" w14:anchorId="752FE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1408" r:id="rId9"/>
        </w:object>
      </w:r>
    </w:p>
    <w:p w14:paraId="5A16CAC4"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376DADB3" w14:textId="77777777" w:rsidR="00A36976" w:rsidRPr="00CE2C7E" w:rsidRDefault="00A36976" w:rsidP="00A36976">
      <w:pPr>
        <w:rPr>
          <w:rFonts w:ascii="Arial" w:hAnsi="Arial" w:cs="Arial"/>
          <w:sz w:val="28"/>
          <w:szCs w:val="28"/>
        </w:rPr>
      </w:pPr>
    </w:p>
    <w:p w14:paraId="05AD8678" w14:textId="77777777" w:rsidR="00A36976" w:rsidRPr="00CE2C7E" w:rsidRDefault="00A36976" w:rsidP="00A36976">
      <w:pPr>
        <w:rPr>
          <w:rFonts w:ascii="Arial" w:hAnsi="Arial" w:cs="Arial"/>
          <w:sz w:val="28"/>
          <w:szCs w:val="28"/>
        </w:rPr>
      </w:pPr>
    </w:p>
    <w:p w14:paraId="6D0C6649"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0FBCDD4F" w14:textId="77777777" w:rsidR="00A36976" w:rsidRPr="0059608D" w:rsidRDefault="00A36976" w:rsidP="00A36976">
      <w:pPr>
        <w:jc w:val="center"/>
        <w:rPr>
          <w:rFonts w:ascii="Calibri" w:hAnsi="Calibri"/>
          <w:sz w:val="26"/>
          <w:szCs w:val="26"/>
        </w:rPr>
      </w:pPr>
    </w:p>
    <w:p w14:paraId="5B82CAA2"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495C209D" wp14:editId="6E5C0538">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687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43A485C3"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19AC6CAC" w14:textId="77777777" w:rsidR="004722F6" w:rsidRPr="00CE2C7E" w:rsidRDefault="004722F6" w:rsidP="00A36976">
      <w:pPr>
        <w:spacing w:line="360" w:lineRule="auto"/>
        <w:jc w:val="center"/>
        <w:rPr>
          <w:rFonts w:ascii="Calibri" w:hAnsi="Calibri" w:cs="Arial"/>
          <w:b/>
          <w:sz w:val="28"/>
          <w:szCs w:val="28"/>
        </w:rPr>
      </w:pPr>
    </w:p>
    <w:p w14:paraId="06D1CC5E"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3999E95F" w14:textId="77777777" w:rsidR="004722F6" w:rsidRPr="0059608D" w:rsidRDefault="004722F6" w:rsidP="00A36976">
      <w:pPr>
        <w:spacing w:line="360" w:lineRule="auto"/>
        <w:jc w:val="center"/>
        <w:rPr>
          <w:rFonts w:ascii="Calibri" w:hAnsi="Calibri" w:cs="Arial"/>
          <w:b/>
          <w:sz w:val="16"/>
          <w:szCs w:val="16"/>
        </w:rPr>
      </w:pPr>
    </w:p>
    <w:p w14:paraId="609AB654"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5B411B8B" wp14:editId="6BCA9A68">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BFA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A51A609" w14:textId="77777777" w:rsidR="009B159E" w:rsidRPr="009B159E" w:rsidRDefault="009B159E" w:rsidP="009B159E">
      <w:pPr>
        <w:spacing w:before="100" w:beforeAutospacing="1" w:after="100" w:afterAutospacing="1"/>
        <w:ind w:left="851" w:hanging="851"/>
        <w:jc w:val="both"/>
        <w:rPr>
          <w:rFonts w:ascii="Arial" w:hAnsi="Arial" w:cs="Arial"/>
        </w:rPr>
      </w:pPr>
      <w:r w:rsidRPr="009B159E">
        <w:rPr>
          <w:rFonts w:ascii="Arial" w:hAnsi="Arial" w:cs="Arial"/>
          <w:b/>
        </w:rPr>
        <w:t>2621.</w:t>
      </w:r>
      <w:r w:rsidRPr="009B159E">
        <w:rPr>
          <w:rFonts w:ascii="Arial" w:hAnsi="Arial" w:cs="Arial"/>
          <w:b/>
        </w:rPr>
        <w:tab/>
        <w:t>Mr S J F Marais (DA) to ask the Minister of Defence and Military Veterans:</w:t>
      </w:r>
    </w:p>
    <w:p w14:paraId="195B61DE" w14:textId="77777777" w:rsidR="009B159E" w:rsidRPr="009B159E" w:rsidRDefault="009B159E" w:rsidP="009B159E">
      <w:pPr>
        <w:spacing w:before="100" w:beforeAutospacing="1" w:after="100" w:afterAutospacing="1"/>
        <w:ind w:left="1440" w:hanging="589"/>
        <w:jc w:val="both"/>
        <w:rPr>
          <w:rFonts w:ascii="Arial" w:hAnsi="Arial" w:cs="Arial"/>
        </w:rPr>
      </w:pPr>
      <w:r w:rsidRPr="009B159E">
        <w:rPr>
          <w:rFonts w:ascii="Arial" w:hAnsi="Arial" w:cs="Arial"/>
        </w:rPr>
        <w:t>(1)</w:t>
      </w:r>
      <w:r w:rsidRPr="009B159E">
        <w:rPr>
          <w:rFonts w:ascii="Arial" w:hAnsi="Arial" w:cs="Arial"/>
        </w:rPr>
        <w:tab/>
        <w:t>(a) What are the (i) names and (ii) rank of persons stationed at the Youngsfield Military Base in Wetton, Cape Town, who received performance bonuses in each of the past three financial years, (b) what amounts did each person receive in each case, (c) how were the bonuses determined in each case, (d) which processes and procedures were followed in this regard and (e) who were the members of the assessment panels in each case;</w:t>
      </w:r>
    </w:p>
    <w:p w14:paraId="61C636C5" w14:textId="77777777" w:rsidR="009B159E" w:rsidRPr="009B159E" w:rsidRDefault="009B159E" w:rsidP="009B159E">
      <w:pPr>
        <w:spacing w:before="100" w:beforeAutospacing="1" w:after="100" w:afterAutospacing="1"/>
        <w:ind w:left="1440" w:hanging="589"/>
        <w:jc w:val="both"/>
        <w:rPr>
          <w:rFonts w:ascii="Arial" w:hAnsi="Arial" w:cs="Arial"/>
        </w:rPr>
      </w:pPr>
    </w:p>
    <w:p w14:paraId="0C301B75" w14:textId="77777777" w:rsidR="009B159E" w:rsidRPr="009B159E" w:rsidRDefault="009B159E" w:rsidP="009B159E">
      <w:pPr>
        <w:spacing w:before="100" w:beforeAutospacing="1" w:after="100" w:afterAutospacing="1"/>
        <w:ind w:left="1440" w:hanging="589"/>
        <w:jc w:val="both"/>
        <w:rPr>
          <w:rFonts w:ascii="Arial" w:hAnsi="Arial" w:cs="Arial"/>
        </w:rPr>
      </w:pPr>
      <w:r w:rsidRPr="009B159E">
        <w:rPr>
          <w:rFonts w:ascii="Arial" w:hAnsi="Arial" w:cs="Arial"/>
        </w:rPr>
        <w:t>(2)</w:t>
      </w:r>
      <w:r w:rsidRPr="009B159E">
        <w:rPr>
          <w:rFonts w:ascii="Arial" w:hAnsi="Arial" w:cs="Arial"/>
        </w:rPr>
        <w:tab/>
        <w:t xml:space="preserve">are there any portfolios of evidence and motivations by the line superiors to award bonuses to the specified persons; if not, why not; if so, </w:t>
      </w:r>
    </w:p>
    <w:p w14:paraId="2C99FC98" w14:textId="77777777" w:rsidR="009B159E" w:rsidRPr="009B159E" w:rsidRDefault="009B159E" w:rsidP="009B159E">
      <w:pPr>
        <w:spacing w:before="100" w:beforeAutospacing="1" w:after="100" w:afterAutospacing="1"/>
        <w:ind w:left="1440" w:hanging="589"/>
        <w:jc w:val="both"/>
        <w:rPr>
          <w:rFonts w:ascii="Arial" w:hAnsi="Arial" w:cs="Arial"/>
        </w:rPr>
      </w:pPr>
      <w:r w:rsidRPr="009B159E">
        <w:rPr>
          <w:rFonts w:ascii="Arial" w:hAnsi="Arial" w:cs="Arial"/>
        </w:rPr>
        <w:t>(3)</w:t>
      </w:r>
      <w:r w:rsidRPr="009B159E">
        <w:rPr>
          <w:rFonts w:ascii="Arial" w:hAnsi="Arial" w:cs="Arial"/>
        </w:rPr>
        <w:tab/>
        <w:t>are the specified files open for scrutiny; if not, why not; if so, where can they be accessed;</w:t>
      </w:r>
    </w:p>
    <w:p w14:paraId="2A7C29B0" w14:textId="77777777" w:rsidR="009B159E" w:rsidRPr="009B159E" w:rsidRDefault="009B159E" w:rsidP="009B159E">
      <w:pPr>
        <w:spacing w:before="100" w:beforeAutospacing="1" w:after="100" w:afterAutospacing="1"/>
        <w:ind w:left="1440" w:hanging="589"/>
        <w:jc w:val="both"/>
        <w:rPr>
          <w:rFonts w:ascii="Arial" w:hAnsi="Arial" w:cs="Arial"/>
        </w:rPr>
      </w:pPr>
      <w:r w:rsidRPr="009B159E">
        <w:rPr>
          <w:rFonts w:ascii="Arial" w:hAnsi="Arial" w:cs="Arial"/>
        </w:rPr>
        <w:t>(4)</w:t>
      </w:r>
      <w:r w:rsidRPr="009B159E">
        <w:rPr>
          <w:rFonts w:ascii="Arial" w:hAnsi="Arial" w:cs="Arial"/>
        </w:rPr>
        <w:tab/>
        <w:t>did a certain person (name and details furnished) also receive a performance bonus in each of the specified financial years; if not, why not; if so, what are the relevant details on each case?</w:t>
      </w:r>
      <w:r w:rsidRPr="009B159E">
        <w:rPr>
          <w:rFonts w:ascii="Arial" w:hAnsi="Arial" w:cs="Arial"/>
        </w:rPr>
        <w:tab/>
      </w:r>
      <w:r w:rsidRPr="009B159E">
        <w:rPr>
          <w:rFonts w:ascii="Arial" w:hAnsi="Arial" w:cs="Arial"/>
        </w:rPr>
        <w:tab/>
      </w:r>
      <w:r w:rsidRPr="009B159E">
        <w:rPr>
          <w:rFonts w:ascii="Arial" w:hAnsi="Arial" w:cs="Arial"/>
        </w:rPr>
        <w:tab/>
      </w:r>
      <w:r w:rsidRPr="009B159E">
        <w:rPr>
          <w:rFonts w:ascii="Arial" w:hAnsi="Arial" w:cs="Arial"/>
        </w:rPr>
        <w:tab/>
      </w:r>
      <w:r w:rsidRPr="009B159E">
        <w:rPr>
          <w:rFonts w:ascii="Arial" w:hAnsi="Arial" w:cs="Arial"/>
        </w:rPr>
        <w:tab/>
      </w:r>
      <w:r w:rsidRPr="009B159E">
        <w:rPr>
          <w:rFonts w:ascii="Arial" w:hAnsi="Arial" w:cs="Arial"/>
        </w:rPr>
        <w:tab/>
        <w:t>NW3034E</w:t>
      </w:r>
    </w:p>
    <w:p w14:paraId="78580FF0" w14:textId="77777777" w:rsidR="002267CC" w:rsidRDefault="002267CC" w:rsidP="002267CC">
      <w:pPr>
        <w:pStyle w:val="Heading2"/>
        <w:numPr>
          <w:ilvl w:val="0"/>
          <w:numId w:val="0"/>
        </w:numPr>
        <w:tabs>
          <w:tab w:val="left" w:pos="720"/>
        </w:tabs>
        <w:rPr>
          <w:rFonts w:cs="Arial"/>
          <w:b/>
          <w:bCs/>
          <w:sz w:val="22"/>
          <w:szCs w:val="22"/>
        </w:rPr>
      </w:pPr>
      <w:r>
        <w:rPr>
          <w:rFonts w:cs="Arial"/>
          <w:b/>
          <w:bCs/>
          <w:sz w:val="22"/>
          <w:szCs w:val="22"/>
        </w:rPr>
        <w:t>Reply:</w:t>
      </w:r>
    </w:p>
    <w:p w14:paraId="65686392" w14:textId="77777777" w:rsidR="002267CC" w:rsidRDefault="002267CC" w:rsidP="002267CC">
      <w:pPr>
        <w:pStyle w:val="Heading2"/>
        <w:numPr>
          <w:ilvl w:val="0"/>
          <w:numId w:val="0"/>
        </w:numPr>
        <w:tabs>
          <w:tab w:val="left" w:pos="720"/>
        </w:tabs>
        <w:ind w:left="567"/>
        <w:rPr>
          <w:rFonts w:cs="Arial"/>
          <w:bCs/>
          <w:sz w:val="22"/>
          <w:szCs w:val="22"/>
        </w:rPr>
      </w:pPr>
      <w:r>
        <w:rPr>
          <w:rFonts w:cs="Arial"/>
          <w:bCs/>
          <w:sz w:val="22"/>
          <w:szCs w:val="22"/>
        </w:rPr>
        <w:t>(1) (a) and (b) The names and ranks for uniformed members of the SANDF who received performance bonuses cannot be provided as it might compromise individual’s confidentiality and this also includes the amount received in each case.</w:t>
      </w:r>
    </w:p>
    <w:tbl>
      <w:tblPr>
        <w:tblW w:w="9776" w:type="dxa"/>
        <w:tblInd w:w="113" w:type="dxa"/>
        <w:tblLook w:val="04A0" w:firstRow="1" w:lastRow="0" w:firstColumn="1" w:lastColumn="0" w:noHBand="0" w:noVBand="1"/>
      </w:tblPr>
      <w:tblGrid>
        <w:gridCol w:w="9776"/>
      </w:tblGrid>
      <w:tr w:rsidR="002267CC" w14:paraId="2CF04557" w14:textId="77777777" w:rsidTr="002267CC">
        <w:trPr>
          <w:trHeight w:val="255"/>
        </w:trPr>
        <w:tc>
          <w:tcPr>
            <w:tcW w:w="9776" w:type="dxa"/>
            <w:vAlign w:val="bottom"/>
            <w:hideMark/>
          </w:tcPr>
          <w:p w14:paraId="70C0BBC4" w14:textId="77777777" w:rsidR="002267CC" w:rsidRDefault="002267CC">
            <w:pPr>
              <w:jc w:val="both"/>
              <w:rPr>
                <w:rFonts w:ascii="Arial" w:hAnsi="Arial" w:cs="Arial"/>
                <w:b/>
                <w:bCs/>
                <w:color w:val="000000"/>
                <w:sz w:val="22"/>
                <w:szCs w:val="22"/>
                <w:lang w:val="en-ZA" w:eastAsia="en-ZA"/>
              </w:rPr>
            </w:pPr>
            <w:r>
              <w:rPr>
                <w:rFonts w:ascii="Arial" w:hAnsi="Arial" w:cs="Arial"/>
                <w:b/>
                <w:bCs/>
                <w:sz w:val="22"/>
                <w:szCs w:val="22"/>
              </w:rPr>
              <w:lastRenderedPageBreak/>
              <w:tab/>
              <w:t xml:space="preserve">Total number of members who received bonuses  2013 – 2015:      305   </w:t>
            </w:r>
          </w:p>
        </w:tc>
      </w:tr>
    </w:tbl>
    <w:p w14:paraId="18A0ED41" w14:textId="77777777" w:rsidR="002267CC" w:rsidRDefault="002267CC" w:rsidP="002267CC">
      <w:pPr>
        <w:rPr>
          <w:rFonts w:ascii="Arial" w:hAnsi="Arial" w:cs="Arial"/>
          <w:sz w:val="22"/>
        </w:rPr>
      </w:pPr>
    </w:p>
    <w:p w14:paraId="70BA9780" w14:textId="77777777" w:rsidR="002267CC" w:rsidRDefault="002267CC" w:rsidP="002267CC">
      <w:pPr>
        <w:pStyle w:val="ListParagraph"/>
        <w:ind w:left="567"/>
        <w:rPr>
          <w:rFonts w:ascii="Arial" w:hAnsi="Arial" w:cs="Arial"/>
          <w:sz w:val="22"/>
        </w:rPr>
      </w:pPr>
      <w:r>
        <w:rPr>
          <w:rFonts w:ascii="Arial" w:hAnsi="Arial" w:cs="Arial"/>
          <w:sz w:val="22"/>
        </w:rPr>
        <w:t xml:space="preserve">(2) </w:t>
      </w:r>
      <w:r>
        <w:rPr>
          <w:rFonts w:ascii="Arial" w:hAnsi="Arial" w:cs="Arial"/>
          <w:sz w:val="22"/>
        </w:rPr>
        <w:tab/>
        <w:t>Yes, there are portfolios of evidence and motivations, by the line superiors to award bonuses to the specified persons and it is actually contained in each member’s PMDS Booklet, as follows:</w:t>
      </w:r>
    </w:p>
    <w:p w14:paraId="4152EEE1" w14:textId="77777777" w:rsidR="002267CC" w:rsidRDefault="002267CC" w:rsidP="002267CC">
      <w:pPr>
        <w:pStyle w:val="ListParagraph"/>
        <w:ind w:left="567"/>
        <w:rPr>
          <w:rFonts w:ascii="Arial" w:hAnsi="Arial" w:cs="Arial"/>
          <w:sz w:val="22"/>
        </w:rPr>
      </w:pPr>
    </w:p>
    <w:p w14:paraId="25A2FE70" w14:textId="77777777" w:rsidR="002267CC" w:rsidRDefault="002267CC" w:rsidP="002267CC">
      <w:pPr>
        <w:pStyle w:val="ListParagraph"/>
        <w:numPr>
          <w:ilvl w:val="1"/>
          <w:numId w:val="39"/>
        </w:numPr>
        <w:spacing w:line="256" w:lineRule="auto"/>
        <w:ind w:left="567" w:firstLine="0"/>
        <w:jc w:val="both"/>
        <w:rPr>
          <w:rFonts w:ascii="Arial" w:hAnsi="Arial" w:cs="Arial"/>
          <w:sz w:val="22"/>
        </w:rPr>
      </w:pPr>
      <w:r>
        <w:rPr>
          <w:rFonts w:ascii="Arial" w:hAnsi="Arial" w:cs="Arial"/>
          <w:sz w:val="22"/>
        </w:rPr>
        <w:t>Each individual score per KRA and GAF is motivated.</w:t>
      </w:r>
    </w:p>
    <w:p w14:paraId="7907DA36" w14:textId="77777777" w:rsidR="002267CC" w:rsidRDefault="002267CC" w:rsidP="002267CC">
      <w:pPr>
        <w:pStyle w:val="ListParagraph"/>
        <w:ind w:left="567"/>
        <w:rPr>
          <w:rFonts w:ascii="Arial" w:hAnsi="Arial" w:cs="Arial"/>
          <w:sz w:val="22"/>
        </w:rPr>
      </w:pPr>
    </w:p>
    <w:p w14:paraId="3D4B4D6B" w14:textId="77777777" w:rsidR="002267CC" w:rsidRDefault="002267CC" w:rsidP="002267CC">
      <w:pPr>
        <w:pStyle w:val="ListParagraph"/>
        <w:numPr>
          <w:ilvl w:val="1"/>
          <w:numId w:val="39"/>
        </w:numPr>
        <w:spacing w:line="256" w:lineRule="auto"/>
        <w:ind w:left="567" w:firstLine="0"/>
        <w:jc w:val="both"/>
        <w:rPr>
          <w:rFonts w:ascii="Arial" w:hAnsi="Arial" w:cs="Arial"/>
          <w:sz w:val="22"/>
        </w:rPr>
      </w:pPr>
      <w:r>
        <w:rPr>
          <w:rFonts w:ascii="Arial" w:hAnsi="Arial" w:cs="Arial"/>
          <w:sz w:val="22"/>
        </w:rPr>
        <w:t>Each superior has to have at least two compulsory interviews with his/her member, in order to highlight good or bad performances.</w:t>
      </w:r>
    </w:p>
    <w:p w14:paraId="0CE5C8D5" w14:textId="77777777" w:rsidR="002267CC" w:rsidRDefault="002267CC" w:rsidP="002267CC">
      <w:pPr>
        <w:pStyle w:val="ListParagraph"/>
        <w:ind w:left="567"/>
        <w:rPr>
          <w:rFonts w:ascii="Arial" w:hAnsi="Arial" w:cs="Arial"/>
          <w:sz w:val="22"/>
        </w:rPr>
      </w:pPr>
    </w:p>
    <w:p w14:paraId="66564761" w14:textId="77777777" w:rsidR="002267CC" w:rsidRDefault="002267CC" w:rsidP="002267CC">
      <w:pPr>
        <w:pStyle w:val="ListParagraph"/>
        <w:numPr>
          <w:ilvl w:val="1"/>
          <w:numId w:val="39"/>
        </w:numPr>
        <w:spacing w:line="256" w:lineRule="auto"/>
        <w:ind w:left="567" w:firstLine="0"/>
        <w:jc w:val="both"/>
        <w:rPr>
          <w:rFonts w:ascii="Arial" w:hAnsi="Arial" w:cs="Arial"/>
          <w:sz w:val="22"/>
        </w:rPr>
      </w:pPr>
      <w:r>
        <w:rPr>
          <w:rFonts w:ascii="Arial" w:hAnsi="Arial" w:cs="Arial"/>
          <w:sz w:val="22"/>
        </w:rPr>
        <w:t>Superiors also have the opportunity throughout the year of assessment to have performance related interviews with members, which can be captured in the PMDS Booklet.</w:t>
      </w:r>
    </w:p>
    <w:p w14:paraId="16FD3054" w14:textId="77777777" w:rsidR="002267CC" w:rsidRDefault="002267CC" w:rsidP="002267CC">
      <w:pPr>
        <w:pStyle w:val="ListParagraph"/>
        <w:ind w:left="567"/>
        <w:rPr>
          <w:rFonts w:ascii="Arial" w:hAnsi="Arial" w:cs="Arial"/>
          <w:sz w:val="22"/>
        </w:rPr>
      </w:pPr>
    </w:p>
    <w:p w14:paraId="0A33C310" w14:textId="77777777" w:rsidR="002267CC" w:rsidRDefault="002267CC" w:rsidP="002267CC">
      <w:pPr>
        <w:tabs>
          <w:tab w:val="left" w:pos="1134"/>
        </w:tabs>
        <w:ind w:left="567"/>
        <w:rPr>
          <w:rFonts w:ascii="Arial" w:hAnsi="Arial" w:cs="Arial"/>
          <w:sz w:val="22"/>
        </w:rPr>
      </w:pPr>
      <w:r>
        <w:rPr>
          <w:rFonts w:ascii="Arial" w:hAnsi="Arial" w:cs="Arial"/>
          <w:sz w:val="22"/>
        </w:rPr>
        <w:t xml:space="preserve">(3) </w:t>
      </w:r>
      <w:r>
        <w:rPr>
          <w:rFonts w:ascii="Arial" w:hAnsi="Arial" w:cs="Arial"/>
          <w:sz w:val="22"/>
        </w:rPr>
        <w:tab/>
        <w:t>No, these PMDS booklets are not open for scrutiny by any persons other than the specific individual, the immediate supervisor, the Service Centre Manager, the Personnel Officer, members of the PMDS Moderating Board and the Officer Commanding.  These PMDS Booklets are kept in filing cabinets in the office of the Warrant Officer in charge of PMDS Administration. These booklets can only be accessed by means of authority given by higher HQ via the Officer Commanding.</w:t>
      </w:r>
    </w:p>
    <w:p w14:paraId="7ECEE74B" w14:textId="77777777" w:rsidR="002267CC" w:rsidRDefault="002267CC" w:rsidP="002267CC">
      <w:pPr>
        <w:pStyle w:val="ListParagraph"/>
        <w:ind w:left="567"/>
        <w:rPr>
          <w:rFonts w:ascii="Arial" w:hAnsi="Arial" w:cs="Arial"/>
          <w:sz w:val="22"/>
        </w:rPr>
      </w:pPr>
    </w:p>
    <w:p w14:paraId="628C2812" w14:textId="77777777" w:rsidR="002267CC" w:rsidRDefault="002267CC" w:rsidP="002267CC">
      <w:pPr>
        <w:ind w:left="567"/>
        <w:rPr>
          <w:rFonts w:ascii="Arial" w:hAnsi="Arial" w:cs="Arial"/>
          <w:sz w:val="22"/>
        </w:rPr>
      </w:pPr>
      <w:r>
        <w:rPr>
          <w:rFonts w:ascii="Arial" w:hAnsi="Arial" w:cs="Arial"/>
          <w:sz w:val="22"/>
        </w:rPr>
        <w:t xml:space="preserve">(4)  </w:t>
      </w:r>
      <w:r>
        <w:rPr>
          <w:rFonts w:ascii="Arial" w:hAnsi="Arial" w:cs="Arial"/>
          <w:sz w:val="22"/>
        </w:rPr>
        <w:tab/>
        <w:t>No, Col M.R. Mongo did not receive a bonus in each of the specified financial years. He only received a bonus in 2012 and nothing since then.  The Unit Officer Commanding is assessed by the GOC Support Formation, and nomination for a bonus comes from the GOC. The unit does not even capture the PMDS of the officer commanding.</w:t>
      </w:r>
    </w:p>
    <w:p w14:paraId="35EA363F" w14:textId="77777777" w:rsidR="007007C0" w:rsidRPr="00335E7F" w:rsidRDefault="007007C0" w:rsidP="00A858F9">
      <w:pPr>
        <w:spacing w:before="100" w:beforeAutospacing="1" w:after="100" w:afterAutospacing="1"/>
        <w:ind w:left="851" w:hanging="851"/>
        <w:jc w:val="both"/>
        <w:rPr>
          <w:rFonts w:ascii="Arial" w:hAnsi="Arial" w:cs="Arial"/>
        </w:rPr>
      </w:pPr>
    </w:p>
    <w:sectPr w:rsidR="007007C0" w:rsidRPr="00335E7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2DCE" w14:textId="77777777" w:rsidR="002C2938" w:rsidRDefault="002C2938">
      <w:r>
        <w:separator/>
      </w:r>
    </w:p>
  </w:endnote>
  <w:endnote w:type="continuationSeparator" w:id="0">
    <w:p w14:paraId="620F0554" w14:textId="77777777" w:rsidR="002C2938" w:rsidRDefault="002C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95920"/>
      <w:docPartObj>
        <w:docPartGallery w:val="Page Numbers (Bottom of Page)"/>
        <w:docPartUnique/>
      </w:docPartObj>
    </w:sdtPr>
    <w:sdtEndPr>
      <w:rPr>
        <w:noProof/>
      </w:rPr>
    </w:sdtEndPr>
    <w:sdtContent>
      <w:p w14:paraId="097F9138" w14:textId="16C05157" w:rsidR="002267CC" w:rsidRDefault="002267CC">
        <w:pPr>
          <w:pStyle w:val="Footer"/>
          <w:jc w:val="center"/>
        </w:pPr>
        <w:r>
          <w:fldChar w:fldCharType="begin"/>
        </w:r>
        <w:r>
          <w:instrText xml:space="preserve"> PAGE   \* MERGEFORMAT </w:instrText>
        </w:r>
        <w:r>
          <w:fldChar w:fldCharType="separate"/>
        </w:r>
        <w:r w:rsidR="00895CCB">
          <w:rPr>
            <w:noProof/>
          </w:rPr>
          <w:t>2</w:t>
        </w:r>
        <w:r>
          <w:rPr>
            <w:noProof/>
          </w:rPr>
          <w:fldChar w:fldCharType="end"/>
        </w:r>
      </w:p>
    </w:sdtContent>
  </w:sdt>
  <w:p w14:paraId="7DF2B408" w14:textId="77777777" w:rsidR="002267CC" w:rsidRDefault="00226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26BBC" w14:textId="77777777" w:rsidR="002C2938" w:rsidRDefault="002C2938">
      <w:r>
        <w:separator/>
      </w:r>
    </w:p>
  </w:footnote>
  <w:footnote w:type="continuationSeparator" w:id="0">
    <w:p w14:paraId="789E2CB1" w14:textId="77777777" w:rsidR="002C2938" w:rsidRDefault="002C2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2C90"/>
    <w:multiLevelType w:val="multilevel"/>
    <w:tmpl w:val="9626A14C"/>
    <w:lvl w:ilvl="0">
      <w:start w:val="1"/>
      <w:numFmt w:val="decimal"/>
      <w:lvlText w:val="(%1)"/>
      <w:lvlJc w:val="left"/>
      <w:pPr>
        <w:ind w:left="0" w:firstLine="0"/>
      </w:pPr>
    </w:lvl>
    <w:lvl w:ilvl="1">
      <w:start w:val="1"/>
      <w:numFmt w:val="lowerLetter"/>
      <w:lvlText w:val="(%2)"/>
      <w:lvlJc w:val="left"/>
      <w:pPr>
        <w:ind w:left="1474" w:hanging="73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74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7"/>
  </w:num>
  <w:num w:numId="7">
    <w:abstractNumId w:val="22"/>
  </w:num>
  <w:num w:numId="8">
    <w:abstractNumId w:val="24"/>
  </w:num>
  <w:num w:numId="9">
    <w:abstractNumId w:val="14"/>
  </w:num>
  <w:num w:numId="10">
    <w:abstractNumId w:val="8"/>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2"/>
  </w:num>
  <w:num w:numId="21">
    <w:abstractNumId w:val="28"/>
  </w:num>
  <w:num w:numId="22">
    <w:abstractNumId w:val="30"/>
  </w:num>
  <w:num w:numId="23">
    <w:abstractNumId w:val="2"/>
  </w:num>
  <w:num w:numId="24">
    <w:abstractNumId w:val="6"/>
  </w:num>
  <w:num w:numId="25">
    <w:abstractNumId w:val="29"/>
  </w:num>
  <w:num w:numId="26">
    <w:abstractNumId w:val="18"/>
  </w:num>
  <w:num w:numId="27">
    <w:abstractNumId w:val="4"/>
  </w:num>
  <w:num w:numId="28">
    <w:abstractNumId w:val="21"/>
  </w:num>
  <w:num w:numId="29">
    <w:abstractNumId w:val="10"/>
  </w:num>
  <w:num w:numId="30">
    <w:abstractNumId w:val="9"/>
  </w:num>
  <w:num w:numId="31">
    <w:abstractNumId w:val="36"/>
  </w:num>
  <w:num w:numId="32">
    <w:abstractNumId w:val="11"/>
  </w:num>
  <w:num w:numId="33">
    <w:abstractNumId w:val="31"/>
  </w:num>
  <w:num w:numId="34">
    <w:abstractNumId w:val="16"/>
  </w:num>
  <w:num w:numId="35">
    <w:abstractNumId w:val="7"/>
  </w:num>
  <w:num w:numId="36">
    <w:abstractNumId w:val="15"/>
  </w:num>
  <w:num w:numId="37">
    <w:abstractNumId w:val="20"/>
  </w:num>
  <w:num w:numId="38">
    <w:abstractNumId w:val="2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E7ABB"/>
    <w:rsid w:val="001F3247"/>
    <w:rsid w:val="001F418C"/>
    <w:rsid w:val="0020234C"/>
    <w:rsid w:val="002047B0"/>
    <w:rsid w:val="00221BD0"/>
    <w:rsid w:val="002267CC"/>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2938"/>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5CCB"/>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AC2A16"/>
  <w15:docId w15:val="{6CC4AE1D-FE1B-47DE-BC87-4F8CDAE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2267CC"/>
    <w:pPr>
      <w:tabs>
        <w:tab w:val="center" w:pos="4680"/>
        <w:tab w:val="right" w:pos="9360"/>
      </w:tabs>
    </w:pPr>
  </w:style>
  <w:style w:type="character" w:customStyle="1" w:styleId="HeaderChar">
    <w:name w:val="Header Char"/>
    <w:basedOn w:val="DefaultParagraphFont"/>
    <w:link w:val="Header"/>
    <w:rsid w:val="002267C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16872056">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A22D-E000-4737-8AC2-417CE92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2016-12-15T10:50:00Z</dcterms:created>
  <dcterms:modified xsi:type="dcterms:W3CDTF">2016-12-15T10:50:00Z</dcterms:modified>
</cp:coreProperties>
</file>