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4956991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9F1983" w:rsidRPr="00C57C73" w:rsidRDefault="009F1983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</w:rPr>
      </w:pPr>
      <w:r w:rsidRPr="00C57C73">
        <w:rPr>
          <w:rFonts w:ascii="Calibri" w:hAnsi="Calibri"/>
          <w:b/>
        </w:rPr>
        <w:t>2620.</w:t>
      </w:r>
      <w:r w:rsidRPr="00C57C73">
        <w:rPr>
          <w:rFonts w:ascii="Calibri" w:hAnsi="Calibri"/>
          <w:b/>
        </w:rPr>
        <w:tab/>
        <w:t xml:space="preserve">Mr S J F Marais (DA) to </w:t>
      </w:r>
      <w:r w:rsidRPr="00C57C73">
        <w:rPr>
          <w:rFonts w:ascii="Calibri" w:hAnsi="Calibri"/>
        </w:rPr>
        <w:t>ask</w:t>
      </w:r>
      <w:r w:rsidRPr="00C57C73">
        <w:rPr>
          <w:rFonts w:ascii="Calibri" w:hAnsi="Calibri"/>
          <w:b/>
        </w:rPr>
        <w:t xml:space="preserve"> the Minister of Defence and Military Veterans:</w:t>
      </w:r>
    </w:p>
    <w:p w:rsidR="009F1983" w:rsidRPr="00C57C73" w:rsidRDefault="009F1983" w:rsidP="009F1983">
      <w:pPr>
        <w:spacing w:before="100" w:beforeAutospacing="1" w:after="100" w:afterAutospacing="1" w:line="360" w:lineRule="auto"/>
        <w:ind w:left="1560" w:hanging="567"/>
        <w:jc w:val="both"/>
        <w:outlineLvl w:val="0"/>
        <w:rPr>
          <w:rFonts w:ascii="Calibri" w:hAnsi="Calibri"/>
        </w:rPr>
      </w:pPr>
      <w:r w:rsidRPr="00C57C73">
        <w:rPr>
          <w:rFonts w:ascii="Calibri" w:hAnsi="Calibri"/>
        </w:rPr>
        <w:t>(1)</w:t>
      </w:r>
      <w:r w:rsidRPr="00C57C73">
        <w:rPr>
          <w:rFonts w:ascii="Calibri" w:hAnsi="Calibri"/>
        </w:rPr>
        <w:tab/>
        <w:t>Whether the (a) Director: Promotion of Access to Information, (b) Deputy Director: Promotion of Access to Information Nodal Point, (c) Deputy Director: Promotion of Access to Information Policy and Support, (d) Assistant Director: Promotion of Access to Information Nodal Point, (e) Assistant Director: Promotion of Access to Information Nodal Point, (f) Chief Administration Clerk: Promotion of Access to Information Policy and Support and (g) Chief Administration Clerk: Promotion of Access to Information Nodal Point have been appointed; if not, why not; if so, what are the relevant details;</w:t>
      </w:r>
    </w:p>
    <w:p w:rsidR="009F1983" w:rsidRPr="00C57C73" w:rsidRDefault="009F1983" w:rsidP="009F1983">
      <w:pPr>
        <w:spacing w:before="100" w:beforeAutospacing="1" w:after="100" w:afterAutospacing="1" w:line="360" w:lineRule="auto"/>
        <w:ind w:left="1560" w:hanging="567"/>
        <w:jc w:val="both"/>
        <w:outlineLvl w:val="0"/>
        <w:rPr>
          <w:rFonts w:ascii="Calibri" w:hAnsi="Calibri"/>
        </w:rPr>
      </w:pPr>
      <w:r w:rsidRPr="00C57C73">
        <w:rPr>
          <w:rFonts w:ascii="Calibri" w:hAnsi="Calibri"/>
          <w:lang w:val="en-US"/>
        </w:rPr>
        <w:t>(2)</w:t>
      </w:r>
      <w:r w:rsidRPr="00C57C73">
        <w:rPr>
          <w:rFonts w:ascii="Calibri" w:hAnsi="Calibri"/>
          <w:lang w:val="en-US"/>
        </w:rPr>
        <w:tab/>
      </w:r>
      <w:proofErr w:type="gramStart"/>
      <w:r w:rsidRPr="00C57C73">
        <w:rPr>
          <w:rFonts w:ascii="Calibri" w:hAnsi="Calibri"/>
          <w:lang w:val="en-US"/>
        </w:rPr>
        <w:t>in</w:t>
      </w:r>
      <w:proofErr w:type="gramEnd"/>
      <w:r w:rsidRPr="00C57C73">
        <w:rPr>
          <w:rFonts w:ascii="Calibri" w:hAnsi="Calibri"/>
          <w:lang w:val="en-US"/>
        </w:rPr>
        <w:t xml:space="preserve"> respect of each </w:t>
      </w:r>
      <w:r w:rsidRPr="00C57C73">
        <w:rPr>
          <w:rFonts w:ascii="Calibri" w:hAnsi="Calibri"/>
        </w:rPr>
        <w:t>specified</w:t>
      </w:r>
      <w:r w:rsidRPr="00C57C73">
        <w:rPr>
          <w:rFonts w:ascii="Calibri" w:hAnsi="Calibri"/>
          <w:lang w:val="en-US"/>
        </w:rPr>
        <w:t xml:space="preserve"> position, (a) what is the (i) name and (ii) </w:t>
      </w:r>
      <w:r w:rsidRPr="00C57C73">
        <w:rPr>
          <w:rFonts w:ascii="Calibri" w:hAnsi="Calibri"/>
        </w:rPr>
        <w:t>qualifications</w:t>
      </w:r>
      <w:r w:rsidRPr="00C57C73">
        <w:rPr>
          <w:rFonts w:ascii="Calibri" w:hAnsi="Calibri"/>
          <w:lang w:val="en-US"/>
        </w:rPr>
        <w:t xml:space="preserve"> of the person who was appointed and (b) how many persons were (i) shortlisted and (ii) interviewed for each position</w:t>
      </w:r>
      <w:r w:rsidR="006A1B23">
        <w:rPr>
          <w:rFonts w:ascii="Calibri" w:hAnsi="Calibri"/>
        </w:rPr>
        <w:t>?</w:t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="006A1B23">
        <w:rPr>
          <w:rFonts w:ascii="Calibri" w:hAnsi="Calibri"/>
        </w:rPr>
        <w:tab/>
      </w:r>
      <w:r w:rsidRPr="00C57C73">
        <w:rPr>
          <w:rFonts w:ascii="Calibri" w:hAnsi="Calibri"/>
        </w:rPr>
        <w:t>NW2995E</w:t>
      </w:r>
    </w:p>
    <w:p w:rsidR="006A1B23" w:rsidRDefault="006A1B23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</w:p>
    <w:p w:rsidR="006A1B23" w:rsidRDefault="006A1B23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</w:p>
    <w:p w:rsidR="006A1B23" w:rsidRDefault="006A1B23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</w:p>
    <w:p w:rsidR="00427C8E" w:rsidRDefault="00427C8E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  <w:r w:rsidRPr="00266D98">
        <w:rPr>
          <w:rFonts w:ascii="Calibri" w:hAnsi="Calibri" w:cs="Arial"/>
          <w:b/>
        </w:rPr>
        <w:lastRenderedPageBreak/>
        <w:t>REPLY:</w:t>
      </w:r>
    </w:p>
    <w:p w:rsidR="006A1B23" w:rsidRPr="006A1B23" w:rsidRDefault="006A1B23" w:rsidP="009F198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The information requested is depicted in the Table</w:t>
      </w:r>
      <w:r w:rsidR="002C2236">
        <w:rPr>
          <w:rFonts w:ascii="Calibri" w:hAnsi="Calibri" w:cs="Arial"/>
        </w:rPr>
        <w:t>:</w:t>
      </w:r>
    </w:p>
    <w:tbl>
      <w:tblPr>
        <w:tblW w:w="974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920"/>
        <w:gridCol w:w="1242"/>
        <w:gridCol w:w="987"/>
        <w:gridCol w:w="1281"/>
        <w:gridCol w:w="3719"/>
      </w:tblGrid>
      <w:tr w:rsidR="006A1B23" w:rsidRPr="00C85F38" w:rsidTr="006A1B23">
        <w:tc>
          <w:tcPr>
            <w:tcW w:w="598" w:type="dxa"/>
            <w:vMerge w:val="restart"/>
            <w:shd w:val="clear" w:color="auto" w:fill="F2F2F2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5F38">
              <w:rPr>
                <w:rFonts w:ascii="Arial Narrow" w:hAnsi="Arial Narrow"/>
                <w:b/>
                <w:sz w:val="18"/>
                <w:szCs w:val="18"/>
              </w:rPr>
              <w:t>SN</w:t>
            </w:r>
          </w:p>
        </w:tc>
        <w:tc>
          <w:tcPr>
            <w:tcW w:w="1920" w:type="dxa"/>
            <w:shd w:val="clear" w:color="auto" w:fill="F2F2F2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0A8F">
              <w:rPr>
                <w:rFonts w:ascii="Calibri" w:hAnsi="Calibri"/>
                <w:b/>
                <w:sz w:val="22"/>
                <w:szCs w:val="22"/>
              </w:rPr>
              <w:t>Post</w:t>
            </w:r>
          </w:p>
        </w:tc>
        <w:tc>
          <w:tcPr>
            <w:tcW w:w="1242" w:type="dxa"/>
            <w:shd w:val="clear" w:color="auto" w:fill="F2F2F2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0A8F">
              <w:rPr>
                <w:rFonts w:ascii="Calibri" w:hAnsi="Calibri"/>
                <w:b/>
                <w:sz w:val="22"/>
                <w:szCs w:val="22"/>
              </w:rPr>
              <w:t>Advertisement Closing Date</w:t>
            </w:r>
          </w:p>
        </w:tc>
        <w:tc>
          <w:tcPr>
            <w:tcW w:w="987" w:type="dxa"/>
            <w:shd w:val="clear" w:color="auto" w:fill="F2F2F2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0A8F">
              <w:rPr>
                <w:rFonts w:ascii="Calibri" w:hAnsi="Calibri"/>
                <w:b/>
                <w:sz w:val="22"/>
                <w:szCs w:val="22"/>
              </w:rPr>
              <w:t>Number of Members Shortlisted</w:t>
            </w:r>
          </w:p>
        </w:tc>
        <w:tc>
          <w:tcPr>
            <w:tcW w:w="1281" w:type="dxa"/>
            <w:shd w:val="clear" w:color="auto" w:fill="F2F2F2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0A8F">
              <w:rPr>
                <w:rFonts w:ascii="Calibri" w:hAnsi="Calibri"/>
                <w:b/>
                <w:sz w:val="22"/>
                <w:szCs w:val="22"/>
              </w:rPr>
              <w:t>Number of Members Interviewed</w:t>
            </w:r>
          </w:p>
        </w:tc>
        <w:tc>
          <w:tcPr>
            <w:tcW w:w="3719" w:type="dxa"/>
            <w:shd w:val="clear" w:color="auto" w:fill="F2F2F2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0A8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6A1B23" w:rsidRPr="00C85F38" w:rsidTr="006A1B23">
        <w:tc>
          <w:tcPr>
            <w:tcW w:w="598" w:type="dxa"/>
            <w:vMerge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d</w:t>
            </w:r>
            <w:proofErr w:type="gramEnd"/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e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Director Promotion of Access to Information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11 July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9 invited or interviews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5 Interviews held on 8 July 2015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4 Interviews to be held on 14 August 2015</w:t>
            </w:r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Deputy Direction Promotion of Access to Information Nodal Point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8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2 Declined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 Did not attend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Awaiting vetting status to appoint recommended candidate.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Deputy Direction Promotion of Access to Information Policy and Support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6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 Declined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 Did not attend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Awaiting vetting status to appoint recommended candidate.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Assistant Director Promotion of Access to Information Nodal Point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9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4 Declined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Awaiting vetting status to appoint recommended candidate.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Assistant Director Promotion of Access to Information Nodal Point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3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 Did not attend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Awaiting vetting status to appoint recommended candidate.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Chief Administration Clerk Promotion of Access to Information Nodal Point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4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 Declined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50A8F">
              <w:rPr>
                <w:rFonts w:ascii="Calibri" w:hAnsi="Calibri"/>
                <w:sz w:val="22"/>
                <w:szCs w:val="22"/>
              </w:rPr>
              <w:t>Awaiting vetting status to appoint recommended candidate.</w:t>
            </w:r>
            <w:proofErr w:type="gramEnd"/>
          </w:p>
        </w:tc>
      </w:tr>
      <w:tr w:rsidR="006A1B23" w:rsidRPr="00C85F38" w:rsidTr="006A1B23">
        <w:tc>
          <w:tcPr>
            <w:tcW w:w="598" w:type="dxa"/>
            <w:shd w:val="clear" w:color="auto" w:fill="auto"/>
          </w:tcPr>
          <w:p w:rsidR="006A1B23" w:rsidRPr="00C85F38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5F3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Chief Administration Clerk Promotion of Access to Information Policy and Support</w:t>
            </w:r>
          </w:p>
        </w:tc>
        <w:tc>
          <w:tcPr>
            <w:tcW w:w="1242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19 June 2014</w:t>
            </w:r>
          </w:p>
        </w:tc>
        <w:tc>
          <w:tcPr>
            <w:tcW w:w="987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3 Interviewed</w:t>
            </w:r>
          </w:p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>2 Declined</w:t>
            </w:r>
          </w:p>
        </w:tc>
        <w:tc>
          <w:tcPr>
            <w:tcW w:w="3719" w:type="dxa"/>
            <w:shd w:val="clear" w:color="auto" w:fill="auto"/>
          </w:tcPr>
          <w:p w:rsidR="006A1B23" w:rsidRPr="00F50A8F" w:rsidRDefault="006A1B23" w:rsidP="00F50A8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F50A8F">
              <w:rPr>
                <w:rFonts w:ascii="Calibri" w:hAnsi="Calibri"/>
                <w:sz w:val="22"/>
                <w:szCs w:val="22"/>
              </w:rPr>
              <w:t xml:space="preserve">Mr F. Davhana was appointed and assumed duty on 6 July 2015.  Mr Davhana has a BCom in Business Management meeting the criteria for the advertised post which required a </w:t>
            </w:r>
            <w:r w:rsidRPr="00F50A8F">
              <w:rPr>
                <w:rFonts w:ascii="Calibri" w:hAnsi="Calibri"/>
                <w:sz w:val="22"/>
                <w:szCs w:val="22"/>
                <w:lang w:val="en-US"/>
              </w:rPr>
              <w:t xml:space="preserve">Diploma/Certificate/NQF Level 4/5 (Supply Chain Management and </w:t>
            </w:r>
            <w:r w:rsidRPr="00F50A8F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Financial Management)</w:t>
            </w:r>
            <w:r w:rsidRPr="00F50A8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427C8E" w:rsidRPr="00266D98" w:rsidRDefault="00427C8E" w:rsidP="00427C8E">
      <w:pPr>
        <w:spacing w:line="360" w:lineRule="auto"/>
        <w:jc w:val="both"/>
        <w:rPr>
          <w:rFonts w:ascii="Calibri" w:hAnsi="Calibri" w:cs="Arial"/>
          <w:b/>
        </w:rPr>
      </w:pPr>
    </w:p>
    <w:sectPr w:rsidR="00427C8E" w:rsidRPr="00266D9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50" w:rsidRDefault="00B26750">
      <w:r>
        <w:separator/>
      </w:r>
    </w:p>
  </w:endnote>
  <w:endnote w:type="continuationSeparator" w:id="0">
    <w:p w:rsidR="00B26750" w:rsidRDefault="00B2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50" w:rsidRDefault="00B26750">
      <w:r>
        <w:separator/>
      </w:r>
    </w:p>
  </w:footnote>
  <w:footnote w:type="continuationSeparator" w:id="0">
    <w:p w:rsidR="00B26750" w:rsidRDefault="00B2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54F7E"/>
    <w:rsid w:val="0006245B"/>
    <w:rsid w:val="000822A5"/>
    <w:rsid w:val="000A47FB"/>
    <w:rsid w:val="000B5C14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C6A9F"/>
    <w:rsid w:val="001C6F2E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2CB7"/>
    <w:rsid w:val="002A390E"/>
    <w:rsid w:val="002B20CE"/>
    <w:rsid w:val="002B5CB9"/>
    <w:rsid w:val="002B6251"/>
    <w:rsid w:val="002C2236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13AF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A1B23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9D2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9F1983"/>
    <w:rsid w:val="00A00443"/>
    <w:rsid w:val="00A218D5"/>
    <w:rsid w:val="00A34E72"/>
    <w:rsid w:val="00A36976"/>
    <w:rsid w:val="00A5685A"/>
    <w:rsid w:val="00A574BE"/>
    <w:rsid w:val="00A60E4B"/>
    <w:rsid w:val="00AA086B"/>
    <w:rsid w:val="00AA35A6"/>
    <w:rsid w:val="00AC27C8"/>
    <w:rsid w:val="00AC4A96"/>
    <w:rsid w:val="00AD6512"/>
    <w:rsid w:val="00AD77CA"/>
    <w:rsid w:val="00AE190F"/>
    <w:rsid w:val="00B10F42"/>
    <w:rsid w:val="00B21CD1"/>
    <w:rsid w:val="00B26750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57C7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0A8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2015-09-28T12:50:00Z</dcterms:created>
  <dcterms:modified xsi:type="dcterms:W3CDTF">2015-09-28T12:50:00Z</dcterms:modified>
</cp:coreProperties>
</file>