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B43902">
        <w:rPr>
          <w:b/>
          <w:bCs/>
          <w:sz w:val="24"/>
          <w:u w:val="single"/>
        </w:rPr>
        <w:t>6</w:t>
      </w:r>
      <w:r w:rsidR="000B7EE1">
        <w:rPr>
          <w:b/>
          <w:bCs/>
          <w:sz w:val="24"/>
          <w:u w:val="single"/>
        </w:rPr>
        <w:t>17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222EB">
        <w:rPr>
          <w:b/>
          <w:bCs/>
          <w:sz w:val="24"/>
          <w:u w:val="single"/>
        </w:rPr>
        <w:t>26</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D222EB">
        <w:rPr>
          <w:b/>
          <w:bCs/>
          <w:sz w:val="24"/>
          <w:u w:val="single"/>
        </w:rPr>
        <w:t>9</w:t>
      </w:r>
      <w:r w:rsidRPr="00294557">
        <w:rPr>
          <w:b/>
          <w:bCs/>
          <w:sz w:val="24"/>
          <w:u w:val="single"/>
        </w:rPr>
        <w:t>)</w:t>
      </w:r>
    </w:p>
    <w:p w:rsidR="000B7EE1" w:rsidRPr="000B7EE1" w:rsidRDefault="000B7EE1" w:rsidP="000B7EE1">
      <w:pPr>
        <w:spacing w:before="100" w:beforeAutospacing="1" w:after="100" w:afterAutospacing="1"/>
        <w:ind w:left="709" w:hanging="709"/>
        <w:jc w:val="both"/>
        <w:outlineLvl w:val="0"/>
        <w:rPr>
          <w:sz w:val="24"/>
          <w:u w:val="single"/>
          <w:lang w:val="en-US"/>
        </w:rPr>
      </w:pPr>
      <w:r w:rsidRPr="000B7EE1">
        <w:rPr>
          <w:b/>
          <w:sz w:val="24"/>
          <w:u w:val="single"/>
        </w:rPr>
        <w:t>Mr</w:t>
      </w:r>
      <w:r w:rsidRPr="000B7EE1">
        <w:rPr>
          <w:b/>
          <w:bCs/>
          <w:sz w:val="24"/>
          <w:u w:val="single"/>
          <w:lang w:val="en-US"/>
        </w:rPr>
        <w:t xml:space="preserve"> A C </w:t>
      </w:r>
      <w:proofErr w:type="spellStart"/>
      <w:r w:rsidRPr="000B7EE1">
        <w:rPr>
          <w:b/>
          <w:bCs/>
          <w:sz w:val="24"/>
          <w:u w:val="single"/>
          <w:lang w:val="en-US"/>
        </w:rPr>
        <w:t>Roos</w:t>
      </w:r>
      <w:proofErr w:type="spellEnd"/>
      <w:r w:rsidRPr="000B7EE1">
        <w:rPr>
          <w:b/>
          <w:bCs/>
          <w:sz w:val="24"/>
          <w:u w:val="single"/>
          <w:lang w:val="en-US"/>
        </w:rPr>
        <w:t xml:space="preserve"> (DA) to </w:t>
      </w:r>
      <w:r w:rsidRPr="000B7EE1">
        <w:rPr>
          <w:b/>
          <w:bCs/>
          <w:sz w:val="24"/>
          <w:u w:val="single"/>
        </w:rPr>
        <w:t xml:space="preserve">ask </w:t>
      </w:r>
      <w:r w:rsidRPr="000B7EE1">
        <w:rPr>
          <w:b/>
          <w:bCs/>
          <w:sz w:val="24"/>
          <w:u w:val="single"/>
          <w:lang w:val="en-US"/>
        </w:rPr>
        <w:t>the Minister of Health</w:t>
      </w:r>
      <w:r w:rsidR="00E537D1" w:rsidRPr="000B7EE1">
        <w:rPr>
          <w:b/>
          <w:bCs/>
          <w:sz w:val="24"/>
          <w:u w:val="single"/>
          <w:lang w:val="en-US"/>
        </w:rPr>
        <w:fldChar w:fldCharType="begin"/>
      </w:r>
      <w:r w:rsidRPr="000B7EE1">
        <w:rPr>
          <w:u w:val="single"/>
        </w:rPr>
        <w:instrText xml:space="preserve"> XE "</w:instrText>
      </w:r>
      <w:r w:rsidRPr="000B7EE1">
        <w:rPr>
          <w:b/>
          <w:sz w:val="24"/>
          <w:u w:val="single"/>
        </w:rPr>
        <w:instrText>Health</w:instrText>
      </w:r>
      <w:r w:rsidRPr="000B7EE1">
        <w:rPr>
          <w:u w:val="single"/>
        </w:rPr>
        <w:instrText xml:space="preserve">" </w:instrText>
      </w:r>
      <w:r w:rsidR="00E537D1" w:rsidRPr="000B7EE1">
        <w:rPr>
          <w:b/>
          <w:bCs/>
          <w:sz w:val="24"/>
          <w:u w:val="single"/>
          <w:lang w:val="en-US"/>
        </w:rPr>
        <w:fldChar w:fldCharType="end"/>
      </w:r>
      <w:r w:rsidRPr="000B7EE1">
        <w:rPr>
          <w:b/>
          <w:bCs/>
          <w:sz w:val="24"/>
          <w:u w:val="single"/>
          <w:lang w:val="en-US"/>
        </w:rPr>
        <w:t xml:space="preserve">: </w:t>
      </w:r>
    </w:p>
    <w:p w:rsidR="004434B5" w:rsidRPr="00D63082" w:rsidRDefault="000B7EE1" w:rsidP="000B7EE1">
      <w:pPr>
        <w:spacing w:before="100" w:beforeAutospacing="1" w:after="100" w:afterAutospacing="1"/>
        <w:ind w:hanging="11"/>
        <w:jc w:val="both"/>
        <w:outlineLvl w:val="0"/>
        <w:rPr>
          <w:sz w:val="20"/>
          <w:szCs w:val="20"/>
        </w:rPr>
      </w:pPr>
      <w:r w:rsidRPr="000B7EE1">
        <w:rPr>
          <w:sz w:val="24"/>
        </w:rPr>
        <w:tab/>
        <w:t>Whether, with reference to the meeting of the Portfolio Committee on Home Affairs on 9 November 2021 at which his department was identified as one of the departments that has not yet provided the necessary input for the section 97 Presidential Proclamation to be signed to transfer the relevant border law enforcement functions to the Minister of Home Affairs, he has been informed that this lack of input is holding up the implementation of the Border Management Authority; if not, what is the position in this regard; if so, (a) what is the reason for delayed response and (b) by what date will he provide the necessary input</w:t>
      </w:r>
      <w:r w:rsidRPr="000B7EE1">
        <w:rPr>
          <w:color w:val="000000"/>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53B70">
        <w:rPr>
          <w:color w:val="000000"/>
        </w:rPr>
        <w:t>3</w:t>
      </w:r>
      <w:r w:rsidR="000B7EE1">
        <w:rPr>
          <w:color w:val="000000"/>
        </w:rPr>
        <w:t>093</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Default="00E9752D" w:rsidP="00E9752D">
      <w:pPr>
        <w:pStyle w:val="ListParagraph"/>
        <w:rPr>
          <w:sz w:val="24"/>
        </w:rPr>
      </w:pPr>
    </w:p>
    <w:p w:rsidR="007B22D0" w:rsidRDefault="007B22D0" w:rsidP="007B22D0">
      <w:pPr>
        <w:pStyle w:val="ListParagraph"/>
        <w:spacing w:line="276" w:lineRule="auto"/>
        <w:ind w:left="0"/>
        <w:jc w:val="both"/>
        <w:rPr>
          <w:sz w:val="24"/>
        </w:rPr>
      </w:pPr>
      <w:r w:rsidRPr="007B22D0">
        <w:rPr>
          <w:sz w:val="24"/>
        </w:rPr>
        <w:t xml:space="preserve">Yes. </w:t>
      </w:r>
    </w:p>
    <w:p w:rsidR="007B22D0" w:rsidRPr="007B22D0" w:rsidRDefault="007B22D0" w:rsidP="007B22D0">
      <w:pPr>
        <w:pStyle w:val="ListParagraph"/>
        <w:spacing w:line="276" w:lineRule="auto"/>
        <w:ind w:left="0"/>
        <w:jc w:val="both"/>
        <w:rPr>
          <w:sz w:val="24"/>
        </w:rPr>
      </w:pPr>
    </w:p>
    <w:p w:rsidR="007B22D0" w:rsidRPr="007B22D0" w:rsidRDefault="007B22D0" w:rsidP="007B22D0">
      <w:pPr>
        <w:pStyle w:val="ListParagraph"/>
        <w:numPr>
          <w:ilvl w:val="0"/>
          <w:numId w:val="10"/>
        </w:numPr>
        <w:spacing w:line="276" w:lineRule="auto"/>
        <w:ind w:hanging="720"/>
        <w:jc w:val="both"/>
        <w:rPr>
          <w:sz w:val="24"/>
        </w:rPr>
      </w:pPr>
      <w:r w:rsidRPr="007B22D0">
        <w:rPr>
          <w:sz w:val="24"/>
        </w:rPr>
        <w:t xml:space="preserve">The services provided by officials in the port of entry environment spans various areas, </w:t>
      </w:r>
      <w:proofErr w:type="gramStart"/>
      <w:r w:rsidRPr="007B22D0">
        <w:rPr>
          <w:sz w:val="24"/>
        </w:rPr>
        <w:t>various legislation</w:t>
      </w:r>
      <w:proofErr w:type="gramEnd"/>
      <w:r w:rsidRPr="007B22D0">
        <w:rPr>
          <w:sz w:val="24"/>
        </w:rPr>
        <w:t xml:space="preserve"> and some provided by the South African Health Products Regulatory Authority (SAHPRA). The nature of the various legislative mandates implemented in the border environment necessitated thorough assessment and engagements of the identified legislation to ensure relevant sections implemented within the border law environment are transferred to the Minister of Home Affairs. Engagements have had to be conducted with the Department of Home Affairs and the Border Management Authority office to ensure clear understanding of the intention so as to ensure BMA is adequately empowered with the correct provisions within the respective Acts. The SAHPRA has had to be engaged with respect to Acts enforced by the Entity and to receive their concurrence. Meetings between SAHPRA, Home Affairs and BMA have been facilitated by the department.   </w:t>
      </w:r>
    </w:p>
    <w:p w:rsidR="007B22D0" w:rsidRPr="007B22D0" w:rsidRDefault="007B22D0" w:rsidP="007B22D0">
      <w:pPr>
        <w:pStyle w:val="ListParagraph"/>
        <w:spacing w:line="276" w:lineRule="auto"/>
        <w:rPr>
          <w:b/>
          <w:sz w:val="24"/>
          <w:lang w:val="af-ZA"/>
        </w:rPr>
      </w:pPr>
    </w:p>
    <w:p w:rsidR="007B22D0" w:rsidRDefault="007B22D0" w:rsidP="007B22D0">
      <w:pPr>
        <w:pStyle w:val="ListParagraph"/>
        <w:spacing w:line="276" w:lineRule="auto"/>
        <w:ind w:left="709"/>
        <w:jc w:val="both"/>
        <w:rPr>
          <w:bCs/>
          <w:sz w:val="24"/>
          <w:lang w:val="af-ZA"/>
        </w:rPr>
      </w:pPr>
      <w:r w:rsidRPr="007B22D0">
        <w:rPr>
          <w:bCs/>
          <w:sz w:val="24"/>
          <w:lang w:val="af-ZA"/>
        </w:rPr>
        <w:t>The department has been heavily involved in the Covid-19 response for the period under review, and that Port Health Service has been at the centre of the cross border monitoring and response to the pandemic in line with the Internaitonal Health Regulations. The Department has played a leading role in the response activities to mitigate against the spread of COVID-19 and strenghthening of  our public health system in general. As we continue to respond to the COVID-19 pandemic, we experienced various challenges faced by ordinary South Africans and within our own work environment. It is my view that had things been normal, we would have responded much quicker to the section 97 proclamation as requested by the Minister of Home Affairs.</w:t>
      </w:r>
    </w:p>
    <w:p w:rsidR="007B22D0" w:rsidRDefault="007B22D0" w:rsidP="007B22D0">
      <w:pPr>
        <w:pStyle w:val="ListParagraph"/>
        <w:spacing w:line="276" w:lineRule="auto"/>
        <w:ind w:left="709" w:hanging="709"/>
        <w:jc w:val="both"/>
        <w:rPr>
          <w:bCs/>
          <w:sz w:val="24"/>
          <w:lang w:val="af-ZA"/>
        </w:rPr>
      </w:pPr>
    </w:p>
    <w:p w:rsidR="007B22D0" w:rsidRDefault="007B22D0" w:rsidP="007B22D0">
      <w:pPr>
        <w:pStyle w:val="ListParagraph"/>
        <w:spacing w:line="276" w:lineRule="auto"/>
        <w:ind w:left="709" w:hanging="709"/>
        <w:jc w:val="both"/>
        <w:rPr>
          <w:bCs/>
          <w:sz w:val="24"/>
          <w:lang w:val="af-ZA"/>
        </w:rPr>
      </w:pPr>
    </w:p>
    <w:p w:rsidR="007B22D0" w:rsidRDefault="007B22D0" w:rsidP="007B22D0">
      <w:pPr>
        <w:pStyle w:val="ListParagraph"/>
        <w:spacing w:line="276" w:lineRule="auto"/>
        <w:ind w:left="709" w:hanging="709"/>
        <w:jc w:val="both"/>
        <w:rPr>
          <w:bCs/>
          <w:sz w:val="24"/>
          <w:lang w:val="af-ZA"/>
        </w:rPr>
      </w:pPr>
    </w:p>
    <w:p w:rsidR="007B22D0" w:rsidRDefault="007B22D0" w:rsidP="007B22D0">
      <w:pPr>
        <w:pStyle w:val="ListParagraph"/>
        <w:spacing w:line="276" w:lineRule="auto"/>
        <w:ind w:left="709" w:hanging="709"/>
        <w:jc w:val="both"/>
        <w:rPr>
          <w:bCs/>
          <w:sz w:val="24"/>
          <w:lang w:val="af-ZA"/>
        </w:rPr>
      </w:pPr>
    </w:p>
    <w:p w:rsidR="007B22D0" w:rsidRDefault="007B22D0" w:rsidP="007B22D0">
      <w:pPr>
        <w:pStyle w:val="ListParagraph"/>
        <w:spacing w:line="276" w:lineRule="auto"/>
        <w:ind w:left="709" w:hanging="709"/>
        <w:jc w:val="both"/>
        <w:rPr>
          <w:bCs/>
          <w:sz w:val="24"/>
          <w:lang w:val="af-ZA"/>
        </w:rPr>
      </w:pPr>
    </w:p>
    <w:p w:rsidR="003D717C" w:rsidRPr="007B22D0" w:rsidRDefault="007B22D0" w:rsidP="007B22D0">
      <w:pPr>
        <w:pStyle w:val="ListParagraph"/>
        <w:numPr>
          <w:ilvl w:val="0"/>
          <w:numId w:val="10"/>
        </w:numPr>
        <w:spacing w:line="276" w:lineRule="auto"/>
        <w:ind w:hanging="720"/>
        <w:jc w:val="both"/>
        <w:rPr>
          <w:bCs/>
          <w:sz w:val="24"/>
          <w:lang w:val="af-ZA"/>
        </w:rPr>
      </w:pPr>
      <w:r>
        <w:rPr>
          <w:bCs/>
          <w:sz w:val="24"/>
          <w:lang w:val="af-ZA"/>
        </w:rPr>
        <w:t>We a</w:t>
      </w:r>
      <w:r w:rsidRPr="007B22D0">
        <w:rPr>
          <w:bCs/>
          <w:sz w:val="24"/>
          <w:lang w:val="af-ZA"/>
        </w:rPr>
        <w:t>wait final response from SAHPRA, but are hopeful a response should be expected within the next month. It must be noted that SAHPRA has a Board and decisions are taken at the Board level. The meetings of the Board are scheduled on certain dates in a year. Fortunately SAHPRA is currently attending to the provisions of the Acts to be transferred to the Minister of Home Affairs.</w:t>
      </w:r>
    </w:p>
    <w:p w:rsidR="005E46E1" w:rsidRPr="003D717C" w:rsidRDefault="005E46E1" w:rsidP="005E46E1">
      <w:pPr>
        <w:pStyle w:val="BodyText"/>
        <w:rPr>
          <w:sz w:val="24"/>
        </w:rPr>
      </w:pPr>
      <w:r w:rsidRPr="003D717C">
        <w:rPr>
          <w:sz w:val="24"/>
        </w:rPr>
        <w:t xml:space="preserve"> </w:t>
      </w:r>
    </w:p>
    <w:p w:rsidR="007B22D0" w:rsidRDefault="007B22D0" w:rsidP="005E46E1">
      <w:pPr>
        <w:pStyle w:val="BodyText"/>
        <w:rPr>
          <w:bCs/>
          <w:sz w:val="24"/>
          <w:lang w:val="en-GB"/>
        </w:rPr>
      </w:pPr>
    </w:p>
    <w:p w:rsidR="00E9752D" w:rsidRPr="00E9752D" w:rsidRDefault="00E9752D" w:rsidP="005E46E1">
      <w:pPr>
        <w:pStyle w:val="BodyText"/>
        <w:rPr>
          <w:bCs/>
          <w:sz w:val="24"/>
          <w:lang w:val="en-GB"/>
        </w:rPr>
      </w:pPr>
      <w:r w:rsidRPr="00E9752D">
        <w:rPr>
          <w:bCs/>
          <w:sz w:val="24"/>
          <w:lang w:val="en-GB"/>
        </w:rPr>
        <w:t>END.</w:t>
      </w:r>
      <w:bookmarkStart w:id="0" w:name="_GoBack"/>
      <w:bookmarkEnd w:id="0"/>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8E" w:rsidRDefault="006E0F8E">
      <w:r>
        <w:separator/>
      </w:r>
    </w:p>
  </w:endnote>
  <w:endnote w:type="continuationSeparator" w:id="0">
    <w:p w:rsidR="006E0F8E" w:rsidRDefault="006E0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537D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537D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57C0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8E" w:rsidRDefault="006E0F8E">
      <w:r>
        <w:separator/>
      </w:r>
    </w:p>
  </w:footnote>
  <w:footnote w:type="continuationSeparator" w:id="0">
    <w:p w:rsidR="006E0F8E" w:rsidRDefault="006E0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F20107"/>
    <w:multiLevelType w:val="hybridMultilevel"/>
    <w:tmpl w:val="15DAB4B4"/>
    <w:lvl w:ilvl="0" w:tplc="612A0118">
      <w:start w:val="1"/>
      <w:numFmt w:val="decimal"/>
      <w:lvlText w:val="%1."/>
      <w:lvlJc w:val="left"/>
      <w:pPr>
        <w:tabs>
          <w:tab w:val="num" w:pos="435"/>
        </w:tabs>
        <w:ind w:left="43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93873C4"/>
    <w:multiLevelType w:val="hybridMultilevel"/>
    <w:tmpl w:val="DD188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5984257"/>
    <w:multiLevelType w:val="hybridMultilevel"/>
    <w:tmpl w:val="6DD88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BC4CC4"/>
    <w:multiLevelType w:val="hybridMultilevel"/>
    <w:tmpl w:val="7D7A42B0"/>
    <w:lvl w:ilvl="0" w:tplc="B6A0A8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20D5B9E"/>
    <w:multiLevelType w:val="hybridMultilevel"/>
    <w:tmpl w:val="EBB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956C9"/>
    <w:multiLevelType w:val="hybridMultilevel"/>
    <w:tmpl w:val="552608F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9">
    <w:nsid w:val="6E0E5675"/>
    <w:multiLevelType w:val="hybridMultilevel"/>
    <w:tmpl w:val="6666F678"/>
    <w:lvl w:ilvl="0" w:tplc="641278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2"/>
  </w:num>
  <w:num w:numId="6">
    <w:abstractNumId w:val="4"/>
  </w:num>
  <w:num w:numId="7">
    <w:abstractNumId w:val="3"/>
  </w:num>
  <w:num w:numId="8">
    <w:abstractNumId w:val="8"/>
  </w:num>
  <w:num w:numId="9">
    <w:abstractNumId w:val="9"/>
  </w:num>
  <w:num w:numId="1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6738"/>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B7EE1"/>
    <w:rsid w:val="000C4D1B"/>
    <w:rsid w:val="000C7770"/>
    <w:rsid w:val="000C7B21"/>
    <w:rsid w:val="000D429A"/>
    <w:rsid w:val="000F059B"/>
    <w:rsid w:val="000F2F2D"/>
    <w:rsid w:val="000F3BF5"/>
    <w:rsid w:val="000F452A"/>
    <w:rsid w:val="000F50B5"/>
    <w:rsid w:val="000F6083"/>
    <w:rsid w:val="00102BC8"/>
    <w:rsid w:val="00102E43"/>
    <w:rsid w:val="00103056"/>
    <w:rsid w:val="00103544"/>
    <w:rsid w:val="001053A7"/>
    <w:rsid w:val="00107743"/>
    <w:rsid w:val="001102B2"/>
    <w:rsid w:val="0011153B"/>
    <w:rsid w:val="001126D2"/>
    <w:rsid w:val="00125A56"/>
    <w:rsid w:val="001338AB"/>
    <w:rsid w:val="00134634"/>
    <w:rsid w:val="001365B0"/>
    <w:rsid w:val="00136BF0"/>
    <w:rsid w:val="00145C76"/>
    <w:rsid w:val="00147F32"/>
    <w:rsid w:val="00150261"/>
    <w:rsid w:val="00150F90"/>
    <w:rsid w:val="001511FE"/>
    <w:rsid w:val="00152437"/>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B63E0"/>
    <w:rsid w:val="002C38B1"/>
    <w:rsid w:val="002C677D"/>
    <w:rsid w:val="002C7F1D"/>
    <w:rsid w:val="002E3FA9"/>
    <w:rsid w:val="002E48E3"/>
    <w:rsid w:val="002E5556"/>
    <w:rsid w:val="002E5A4E"/>
    <w:rsid w:val="002E6DEC"/>
    <w:rsid w:val="002F439B"/>
    <w:rsid w:val="002F63C9"/>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8DC"/>
    <w:rsid w:val="003A1B0E"/>
    <w:rsid w:val="003B0C88"/>
    <w:rsid w:val="003B5848"/>
    <w:rsid w:val="003C29E4"/>
    <w:rsid w:val="003C3FF7"/>
    <w:rsid w:val="003C4801"/>
    <w:rsid w:val="003C68AC"/>
    <w:rsid w:val="003D2B6A"/>
    <w:rsid w:val="003D312E"/>
    <w:rsid w:val="003D4A76"/>
    <w:rsid w:val="003D5634"/>
    <w:rsid w:val="003D6B80"/>
    <w:rsid w:val="003D717C"/>
    <w:rsid w:val="003D7B69"/>
    <w:rsid w:val="003E0AC8"/>
    <w:rsid w:val="003E5508"/>
    <w:rsid w:val="003F000C"/>
    <w:rsid w:val="003F3650"/>
    <w:rsid w:val="003F3EB8"/>
    <w:rsid w:val="003F4036"/>
    <w:rsid w:val="003F693D"/>
    <w:rsid w:val="003F6F06"/>
    <w:rsid w:val="0040781B"/>
    <w:rsid w:val="00413E11"/>
    <w:rsid w:val="004149EE"/>
    <w:rsid w:val="004163EA"/>
    <w:rsid w:val="00416C7B"/>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A26E8"/>
    <w:rsid w:val="004A3479"/>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3B70"/>
    <w:rsid w:val="00557CEE"/>
    <w:rsid w:val="005616C3"/>
    <w:rsid w:val="00561747"/>
    <w:rsid w:val="00561810"/>
    <w:rsid w:val="0056205A"/>
    <w:rsid w:val="005652FB"/>
    <w:rsid w:val="00570065"/>
    <w:rsid w:val="00570C0B"/>
    <w:rsid w:val="00574AA4"/>
    <w:rsid w:val="005759DC"/>
    <w:rsid w:val="00576020"/>
    <w:rsid w:val="00586AC5"/>
    <w:rsid w:val="00591330"/>
    <w:rsid w:val="005937C8"/>
    <w:rsid w:val="005A32BC"/>
    <w:rsid w:val="005A39D4"/>
    <w:rsid w:val="005A6911"/>
    <w:rsid w:val="005B4265"/>
    <w:rsid w:val="005C1494"/>
    <w:rsid w:val="005C171D"/>
    <w:rsid w:val="005C4284"/>
    <w:rsid w:val="005C491B"/>
    <w:rsid w:val="005D0D19"/>
    <w:rsid w:val="005D55C6"/>
    <w:rsid w:val="005D7A2A"/>
    <w:rsid w:val="005E0F17"/>
    <w:rsid w:val="005E1DCC"/>
    <w:rsid w:val="005E1FBC"/>
    <w:rsid w:val="005E46E1"/>
    <w:rsid w:val="005E5D63"/>
    <w:rsid w:val="005E7BF6"/>
    <w:rsid w:val="005F6FC5"/>
    <w:rsid w:val="00602574"/>
    <w:rsid w:val="00605DFB"/>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6ADA"/>
    <w:rsid w:val="006779D4"/>
    <w:rsid w:val="006810DE"/>
    <w:rsid w:val="00683343"/>
    <w:rsid w:val="006847A0"/>
    <w:rsid w:val="00685792"/>
    <w:rsid w:val="0068741C"/>
    <w:rsid w:val="00687BCE"/>
    <w:rsid w:val="00690332"/>
    <w:rsid w:val="006930ED"/>
    <w:rsid w:val="006937CF"/>
    <w:rsid w:val="00697378"/>
    <w:rsid w:val="006A34EA"/>
    <w:rsid w:val="006B00F5"/>
    <w:rsid w:val="006B1A27"/>
    <w:rsid w:val="006B5E48"/>
    <w:rsid w:val="006B750D"/>
    <w:rsid w:val="006C38DB"/>
    <w:rsid w:val="006C3B39"/>
    <w:rsid w:val="006C4A26"/>
    <w:rsid w:val="006C67FA"/>
    <w:rsid w:val="006D617D"/>
    <w:rsid w:val="006E0F8E"/>
    <w:rsid w:val="006E2082"/>
    <w:rsid w:val="006E6C41"/>
    <w:rsid w:val="006E77B3"/>
    <w:rsid w:val="006E7C45"/>
    <w:rsid w:val="006F1231"/>
    <w:rsid w:val="006F221E"/>
    <w:rsid w:val="006F4912"/>
    <w:rsid w:val="006F501B"/>
    <w:rsid w:val="006F5FC7"/>
    <w:rsid w:val="006F7BE0"/>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50A50"/>
    <w:rsid w:val="007545F4"/>
    <w:rsid w:val="00761191"/>
    <w:rsid w:val="00762416"/>
    <w:rsid w:val="00764597"/>
    <w:rsid w:val="00766322"/>
    <w:rsid w:val="00766F57"/>
    <w:rsid w:val="0077035F"/>
    <w:rsid w:val="00770C17"/>
    <w:rsid w:val="00771EB2"/>
    <w:rsid w:val="00773A22"/>
    <w:rsid w:val="00786C98"/>
    <w:rsid w:val="00796A87"/>
    <w:rsid w:val="007A0D02"/>
    <w:rsid w:val="007A3E1B"/>
    <w:rsid w:val="007A4252"/>
    <w:rsid w:val="007A50CF"/>
    <w:rsid w:val="007A6FF8"/>
    <w:rsid w:val="007B22D0"/>
    <w:rsid w:val="007C1F51"/>
    <w:rsid w:val="007C7F3F"/>
    <w:rsid w:val="007D50BF"/>
    <w:rsid w:val="007D69C3"/>
    <w:rsid w:val="007E4682"/>
    <w:rsid w:val="007E6493"/>
    <w:rsid w:val="007E6896"/>
    <w:rsid w:val="007F19E9"/>
    <w:rsid w:val="007F547F"/>
    <w:rsid w:val="007F6D34"/>
    <w:rsid w:val="008007EF"/>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0F84"/>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56EB"/>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3B1F"/>
    <w:rsid w:val="00947AB8"/>
    <w:rsid w:val="0095131B"/>
    <w:rsid w:val="00952EC0"/>
    <w:rsid w:val="0095543A"/>
    <w:rsid w:val="00960541"/>
    <w:rsid w:val="009642BC"/>
    <w:rsid w:val="009756B6"/>
    <w:rsid w:val="00975EE5"/>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902"/>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41BC"/>
    <w:rsid w:val="00B0762E"/>
    <w:rsid w:val="00B14EB5"/>
    <w:rsid w:val="00B2106D"/>
    <w:rsid w:val="00B2423A"/>
    <w:rsid w:val="00B2718E"/>
    <w:rsid w:val="00B30C79"/>
    <w:rsid w:val="00B30D8D"/>
    <w:rsid w:val="00B33E9A"/>
    <w:rsid w:val="00B34C0F"/>
    <w:rsid w:val="00B353AB"/>
    <w:rsid w:val="00B37F60"/>
    <w:rsid w:val="00B4046A"/>
    <w:rsid w:val="00B41548"/>
    <w:rsid w:val="00B43902"/>
    <w:rsid w:val="00B47550"/>
    <w:rsid w:val="00B519E0"/>
    <w:rsid w:val="00B561F9"/>
    <w:rsid w:val="00B57C0A"/>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D7199"/>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BB1"/>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2EB"/>
    <w:rsid w:val="00D223AF"/>
    <w:rsid w:val="00D23E84"/>
    <w:rsid w:val="00D271FB"/>
    <w:rsid w:val="00D32EBD"/>
    <w:rsid w:val="00D45BA5"/>
    <w:rsid w:val="00D478F2"/>
    <w:rsid w:val="00D50BCC"/>
    <w:rsid w:val="00D5344B"/>
    <w:rsid w:val="00D5360E"/>
    <w:rsid w:val="00D6164E"/>
    <w:rsid w:val="00D63082"/>
    <w:rsid w:val="00D6575F"/>
    <w:rsid w:val="00D67753"/>
    <w:rsid w:val="00D7008E"/>
    <w:rsid w:val="00D73A46"/>
    <w:rsid w:val="00D75166"/>
    <w:rsid w:val="00D77B35"/>
    <w:rsid w:val="00D81183"/>
    <w:rsid w:val="00D821B8"/>
    <w:rsid w:val="00D82FF4"/>
    <w:rsid w:val="00D84AEC"/>
    <w:rsid w:val="00D91564"/>
    <w:rsid w:val="00D94626"/>
    <w:rsid w:val="00D96ED7"/>
    <w:rsid w:val="00DA2896"/>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537D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4912"/>
    <w:rsid w:val="00F86457"/>
    <w:rsid w:val="00F8656B"/>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27607473">
      <w:bodyDiv w:val="1"/>
      <w:marLeft w:val="0"/>
      <w:marRight w:val="0"/>
      <w:marTop w:val="0"/>
      <w:marBottom w:val="0"/>
      <w:divBdr>
        <w:top w:val="none" w:sz="0" w:space="0" w:color="auto"/>
        <w:left w:val="none" w:sz="0" w:space="0" w:color="auto"/>
        <w:bottom w:val="none" w:sz="0" w:space="0" w:color="auto"/>
        <w:right w:val="none" w:sz="0" w:space="0" w:color="auto"/>
      </w:divBdr>
    </w:div>
    <w:div w:id="808329442">
      <w:bodyDiv w:val="1"/>
      <w:marLeft w:val="0"/>
      <w:marRight w:val="0"/>
      <w:marTop w:val="0"/>
      <w:marBottom w:val="0"/>
      <w:divBdr>
        <w:top w:val="none" w:sz="0" w:space="0" w:color="auto"/>
        <w:left w:val="none" w:sz="0" w:space="0" w:color="auto"/>
        <w:bottom w:val="none" w:sz="0" w:space="0" w:color="auto"/>
        <w:right w:val="none" w:sz="0" w:space="0" w:color="auto"/>
      </w:divBdr>
    </w:div>
    <w:div w:id="1086338296">
      <w:bodyDiv w:val="1"/>
      <w:marLeft w:val="0"/>
      <w:marRight w:val="0"/>
      <w:marTop w:val="0"/>
      <w:marBottom w:val="0"/>
      <w:divBdr>
        <w:top w:val="none" w:sz="0" w:space="0" w:color="auto"/>
        <w:left w:val="none" w:sz="0" w:space="0" w:color="auto"/>
        <w:bottom w:val="none" w:sz="0" w:space="0" w:color="auto"/>
        <w:right w:val="none" w:sz="0" w:space="0" w:color="auto"/>
      </w:divBdr>
    </w:div>
    <w:div w:id="1175657126">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28407299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2021-12-14T09:03:00Z</dcterms:created>
  <dcterms:modified xsi:type="dcterms:W3CDTF">2021-12-14T09:03:00Z</dcterms:modified>
</cp:coreProperties>
</file>