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2C" w:rsidRDefault="0075492C" w:rsidP="0075492C">
      <w:pPr>
        <w:spacing w:after="0" w:line="240" w:lineRule="auto"/>
        <w:jc w:val="center"/>
        <w:rPr>
          <w:b/>
          <w:sz w:val="24"/>
          <w:szCs w:val="24"/>
        </w:rPr>
      </w:pPr>
      <w:r>
        <w:rPr>
          <w:noProof/>
          <w:lang w:eastAsia="en-ZA"/>
        </w:rPr>
        <w:drawing>
          <wp:anchor distT="720090" distB="215900" distL="114300" distR="114300" simplePos="0" relativeHeight="251659264" behindDoc="0" locked="1" layoutInCell="1" allowOverlap="1" wp14:anchorId="25317427" wp14:editId="7541C78B">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NATIONAL ASSEMBLY </w:t>
      </w:r>
    </w:p>
    <w:p w:rsidR="0075492C" w:rsidRDefault="0075492C" w:rsidP="0075492C">
      <w:pPr>
        <w:spacing w:after="0" w:line="240" w:lineRule="auto"/>
        <w:jc w:val="center"/>
        <w:rPr>
          <w:b/>
          <w:sz w:val="24"/>
          <w:szCs w:val="24"/>
        </w:rPr>
      </w:pPr>
    </w:p>
    <w:p w:rsidR="0075492C" w:rsidRDefault="0075492C" w:rsidP="0075492C">
      <w:pPr>
        <w:spacing w:after="0" w:line="240" w:lineRule="auto"/>
        <w:jc w:val="center"/>
        <w:rPr>
          <w:b/>
          <w:sz w:val="24"/>
          <w:szCs w:val="24"/>
        </w:rPr>
      </w:pPr>
      <w:r>
        <w:rPr>
          <w:b/>
          <w:sz w:val="24"/>
          <w:szCs w:val="24"/>
        </w:rPr>
        <w:t>WRITTEN REPLY</w:t>
      </w:r>
    </w:p>
    <w:p w:rsidR="0075492C" w:rsidRDefault="0075492C" w:rsidP="0075492C">
      <w:pPr>
        <w:spacing w:after="0" w:line="240" w:lineRule="auto"/>
        <w:jc w:val="center"/>
        <w:rPr>
          <w:b/>
          <w:sz w:val="24"/>
          <w:szCs w:val="24"/>
        </w:rPr>
      </w:pPr>
    </w:p>
    <w:p w:rsidR="0075492C" w:rsidRDefault="0075492C" w:rsidP="0075492C">
      <w:pPr>
        <w:spacing w:before="120" w:after="60"/>
        <w:ind w:left="2880"/>
        <w:outlineLvl w:val="0"/>
        <w:rPr>
          <w:b/>
          <w:bCs/>
          <w:caps/>
          <w:sz w:val="24"/>
          <w:szCs w:val="24"/>
          <w:u w:val="single"/>
        </w:rPr>
      </w:pPr>
      <w:r>
        <w:rPr>
          <w:b/>
          <w:sz w:val="24"/>
          <w:szCs w:val="24"/>
        </w:rPr>
        <w:t>QUESTION 261 /</w:t>
      </w:r>
      <w:r>
        <w:rPr>
          <w:rFonts w:cs="Times New Roman"/>
          <w:b/>
          <w:sz w:val="24"/>
          <w:szCs w:val="24"/>
          <w:lang w:val="en-GB"/>
        </w:rPr>
        <w:t xml:space="preserve"> NW282E</w:t>
      </w:r>
    </w:p>
    <w:p w:rsidR="0075492C" w:rsidRDefault="0075492C" w:rsidP="0075492C">
      <w:pPr>
        <w:spacing w:after="0" w:line="240" w:lineRule="auto"/>
        <w:rPr>
          <w:b/>
          <w:sz w:val="24"/>
          <w:szCs w:val="24"/>
        </w:rPr>
      </w:pPr>
    </w:p>
    <w:p w:rsidR="0075492C" w:rsidRPr="000A4B67" w:rsidRDefault="0075492C" w:rsidP="0075492C">
      <w:pPr>
        <w:spacing w:after="0" w:line="240" w:lineRule="auto"/>
        <w:jc w:val="center"/>
        <w:rPr>
          <w:b/>
          <w:color w:val="000000"/>
          <w:sz w:val="22"/>
          <w:szCs w:val="22"/>
        </w:rPr>
      </w:pPr>
    </w:p>
    <w:p w:rsidR="0075492C" w:rsidRPr="000A4B67" w:rsidRDefault="0075492C" w:rsidP="0075492C">
      <w:pPr>
        <w:autoSpaceDE w:val="0"/>
        <w:autoSpaceDN w:val="0"/>
        <w:adjustRightInd w:val="0"/>
        <w:jc w:val="center"/>
        <w:rPr>
          <w:b/>
          <w:color w:val="000000"/>
          <w:sz w:val="22"/>
          <w:szCs w:val="22"/>
        </w:rPr>
      </w:pPr>
      <w:r w:rsidRPr="000A4B67">
        <w:rPr>
          <w:b/>
          <w:color w:val="000000"/>
          <w:sz w:val="22"/>
          <w:szCs w:val="22"/>
        </w:rPr>
        <w:t>MINISTER OF AGRICULTURE, FORESTRY AND FISHERIES:</w:t>
      </w:r>
    </w:p>
    <w:p w:rsidR="0075492C" w:rsidRPr="000A4B67" w:rsidRDefault="0075492C" w:rsidP="0075492C">
      <w:pPr>
        <w:spacing w:before="100" w:beforeAutospacing="1" w:after="100" w:afterAutospacing="1"/>
        <w:jc w:val="center"/>
        <w:rPr>
          <w:b/>
          <w:bCs/>
          <w:sz w:val="22"/>
          <w:szCs w:val="22"/>
          <w:lang w:val="en-GB"/>
        </w:rPr>
      </w:pPr>
      <w:r>
        <w:rPr>
          <w:b/>
          <w:bCs/>
          <w:sz w:val="22"/>
          <w:szCs w:val="22"/>
        </w:rPr>
        <w:t>Honourable N. Paulsen</w:t>
      </w:r>
      <w:r w:rsidRPr="000A4B67">
        <w:rPr>
          <w:b/>
          <w:bCs/>
          <w:sz w:val="22"/>
          <w:szCs w:val="22"/>
        </w:rPr>
        <w:t xml:space="preserve"> </w:t>
      </w:r>
      <w:r w:rsidRPr="000A4B67">
        <w:rPr>
          <w:b/>
          <w:bCs/>
          <w:sz w:val="22"/>
          <w:szCs w:val="22"/>
          <w:lang w:val="af-ZA"/>
        </w:rPr>
        <w:t>(</w:t>
      </w:r>
      <w:r>
        <w:rPr>
          <w:b/>
          <w:bCs/>
          <w:sz w:val="22"/>
          <w:szCs w:val="22"/>
          <w:lang w:val="af-ZA"/>
        </w:rPr>
        <w:t>EFF</w:t>
      </w:r>
      <w:r w:rsidRPr="000A4B67">
        <w:rPr>
          <w:b/>
          <w:bCs/>
          <w:sz w:val="22"/>
          <w:szCs w:val="22"/>
          <w:lang w:val="af-ZA"/>
        </w:rPr>
        <w:t>)</w:t>
      </w:r>
      <w:r w:rsidRPr="000A4B67">
        <w:rPr>
          <w:b/>
          <w:bCs/>
          <w:sz w:val="22"/>
          <w:szCs w:val="22"/>
          <w:lang w:val="en-GB"/>
        </w:rPr>
        <w:t xml:space="preserve"> to ask the Minister of Agriculture, Forestry and Fisheries:</w:t>
      </w:r>
    </w:p>
    <w:p w:rsidR="0075492C" w:rsidRDefault="0075492C" w:rsidP="0075492C">
      <w:pPr>
        <w:spacing w:before="120" w:after="60"/>
        <w:outlineLvl w:val="0"/>
        <w:rPr>
          <w:b/>
          <w:bCs/>
          <w:caps/>
          <w:sz w:val="22"/>
          <w:szCs w:val="22"/>
          <w:u w:val="single"/>
        </w:rPr>
      </w:pPr>
      <w:r w:rsidRPr="000A4B67">
        <w:rPr>
          <w:b/>
          <w:bCs/>
          <w:caps/>
          <w:sz w:val="22"/>
          <w:szCs w:val="22"/>
          <w:u w:val="single"/>
        </w:rPr>
        <w:t>QUESTION:</w:t>
      </w:r>
    </w:p>
    <w:p w:rsidR="0075492C" w:rsidRPr="000A4B67" w:rsidRDefault="0075492C" w:rsidP="0075492C">
      <w:pPr>
        <w:spacing w:before="120" w:after="60"/>
        <w:outlineLvl w:val="0"/>
        <w:rPr>
          <w:b/>
          <w:bCs/>
          <w:caps/>
          <w:sz w:val="22"/>
          <w:szCs w:val="22"/>
          <w:u w:val="single"/>
        </w:rPr>
      </w:pPr>
    </w:p>
    <w:p w:rsidR="0075492C" w:rsidRPr="00824378" w:rsidRDefault="0075492C" w:rsidP="0075492C">
      <w:pPr>
        <w:pStyle w:val="Bodytextnarrative"/>
        <w:numPr>
          <w:ilvl w:val="0"/>
          <w:numId w:val="2"/>
        </w:numPr>
        <w:jc w:val="both"/>
      </w:pPr>
      <w:r w:rsidRPr="00824378">
        <w:t>(a) How many state-owned forests are there in the country and (b) what is the geographic location of the specified forests;</w:t>
      </w:r>
    </w:p>
    <w:p w:rsidR="0075492C" w:rsidRPr="00824378" w:rsidRDefault="0075492C" w:rsidP="0075492C">
      <w:pPr>
        <w:pStyle w:val="Bodytextnarrative"/>
        <w:ind w:left="720"/>
        <w:jc w:val="both"/>
      </w:pPr>
    </w:p>
    <w:p w:rsidR="0075492C" w:rsidRPr="00824378" w:rsidRDefault="0075492C" w:rsidP="0075492C">
      <w:pPr>
        <w:pStyle w:val="Bodytextnarrative"/>
        <w:numPr>
          <w:ilvl w:val="0"/>
          <w:numId w:val="2"/>
        </w:numPr>
        <w:jc w:val="both"/>
      </w:pPr>
      <w:r w:rsidRPr="00824378">
        <w:t xml:space="preserve">whether any of these forests have been leased out; if so, (a) how many, (b) to whom, (c) for what duration is each lease and (d) what amount are the leaseholders paying for the lease agreements? </w:t>
      </w:r>
      <w:r w:rsidRPr="00824378">
        <w:rPr>
          <w:b/>
        </w:rPr>
        <w:t>NW282E</w:t>
      </w:r>
    </w:p>
    <w:p w:rsidR="0075492C" w:rsidRPr="00824378" w:rsidRDefault="0075492C" w:rsidP="0075492C">
      <w:pPr>
        <w:jc w:val="both"/>
        <w:rPr>
          <w:b/>
          <w:bCs/>
        </w:rPr>
      </w:pPr>
    </w:p>
    <w:p w:rsidR="0075492C" w:rsidRPr="00824378" w:rsidRDefault="0075492C" w:rsidP="0075492C">
      <w:pPr>
        <w:spacing w:before="100" w:beforeAutospacing="1" w:after="100" w:afterAutospacing="1" w:line="240" w:lineRule="auto"/>
        <w:jc w:val="both"/>
        <w:rPr>
          <w:rFonts w:eastAsia="Times New Roman"/>
          <w:b/>
          <w:u w:val="single"/>
        </w:rPr>
      </w:pPr>
      <w:r w:rsidRPr="00824378">
        <w:rPr>
          <w:rFonts w:eastAsia="Times New Roman"/>
          <w:b/>
          <w:u w:val="single"/>
        </w:rPr>
        <w:t>REPLY:</w:t>
      </w:r>
    </w:p>
    <w:p w:rsidR="0075492C" w:rsidRPr="00824378" w:rsidRDefault="0075492C" w:rsidP="0075492C">
      <w:pPr>
        <w:pStyle w:val="ListParagraph"/>
        <w:numPr>
          <w:ilvl w:val="0"/>
          <w:numId w:val="3"/>
        </w:numPr>
        <w:tabs>
          <w:tab w:val="left" w:pos="1134"/>
        </w:tabs>
        <w:spacing w:after="0"/>
        <w:ind w:hanging="720"/>
        <w:jc w:val="both"/>
      </w:pPr>
      <w:r w:rsidRPr="00824378">
        <w:t>(a)</w:t>
      </w:r>
      <w:r w:rsidRPr="00824378">
        <w:tab/>
        <w:t xml:space="preserve">South Africa has five forestry provinces i.e. Eastern Cape, Western Cape, Mpumalanga, Limpopo and KwaZulu-Natal. The Department of Agriculture, Forestry and Fisheries (DAFF) indirectly manages 368 505 hectares of State plantations (Category A) through lease agreements signed with four private forestry companies and the South African Forestry Company Ltd (SAFCOL). The Department further directly manages one hundred and nine (109) commercial forest plantations (Category B and C) with the total area of 63 114.21 hectares (ha). The Category B and C plantations are mainly in Limpopo, Mpumalanga, Eastern Cape and KwaZulu-Natal. </w:t>
      </w:r>
    </w:p>
    <w:p w:rsidR="0075492C" w:rsidRPr="00824378" w:rsidRDefault="0075492C" w:rsidP="0075492C">
      <w:pPr>
        <w:pStyle w:val="ListParagraph"/>
        <w:tabs>
          <w:tab w:val="left" w:pos="1134"/>
        </w:tabs>
        <w:spacing w:after="0"/>
        <w:jc w:val="both"/>
      </w:pPr>
    </w:p>
    <w:p w:rsidR="0075492C" w:rsidRPr="00824378" w:rsidRDefault="0075492C" w:rsidP="0075492C">
      <w:pPr>
        <w:pStyle w:val="ListParagraph"/>
        <w:spacing w:after="0"/>
        <w:jc w:val="both"/>
      </w:pPr>
      <w:r w:rsidRPr="00824378">
        <w:t xml:space="preserve">(b) The geographic location of the commercial plantations is spread over five different regions namely: Eastern Cape, KwaZulu-Natal, Limpopo, Mpumalanga and North West. </w:t>
      </w:r>
    </w:p>
    <w:p w:rsidR="0075492C" w:rsidRPr="00824378" w:rsidRDefault="0075492C" w:rsidP="0075492C">
      <w:pPr>
        <w:spacing w:after="0"/>
        <w:jc w:val="both"/>
      </w:pPr>
    </w:p>
    <w:p w:rsidR="0075492C" w:rsidRPr="00824378" w:rsidRDefault="0075492C" w:rsidP="0075492C">
      <w:pPr>
        <w:pStyle w:val="ListParagraph"/>
        <w:numPr>
          <w:ilvl w:val="0"/>
          <w:numId w:val="3"/>
        </w:numPr>
        <w:spacing w:after="0"/>
        <w:ind w:hanging="720"/>
        <w:jc w:val="both"/>
      </w:pPr>
      <w:r w:rsidRPr="00824378">
        <w:t xml:space="preserve">Category A plantations with a total of seventy-one (71) state owned plantations (181 185 hectares) are managed by private companies leasing the land from DAFF for a minimum </w:t>
      </w:r>
      <w:r w:rsidRPr="00824378">
        <w:lastRenderedPageBreak/>
        <w:t xml:space="preserve">period of 70 years. The companies are MTO Forestry (Pty) Ltd; </w:t>
      </w:r>
      <w:proofErr w:type="spellStart"/>
      <w:r w:rsidRPr="00824378">
        <w:t>Amatola</w:t>
      </w:r>
      <w:proofErr w:type="spellEnd"/>
      <w:r w:rsidRPr="00824378">
        <w:t xml:space="preserve"> Forestry (Pty) Ltd; </w:t>
      </w:r>
      <w:proofErr w:type="spellStart"/>
      <w:r w:rsidRPr="00824378">
        <w:t>SiyaQhubeka</w:t>
      </w:r>
      <w:proofErr w:type="spellEnd"/>
      <w:r w:rsidRPr="00824378">
        <w:t xml:space="preserve"> Forest (Pty) Ltd; and </w:t>
      </w:r>
      <w:proofErr w:type="spellStart"/>
      <w:r w:rsidRPr="00824378">
        <w:t>Singisi</w:t>
      </w:r>
      <w:proofErr w:type="spellEnd"/>
      <w:r w:rsidRPr="00824378">
        <w:t xml:space="preserve"> Forest Products (Pty) Ltd. In addition to this an area of </w:t>
      </w:r>
      <w:r w:rsidRPr="00824378">
        <w:rPr>
          <w:color w:val="000000"/>
        </w:rPr>
        <w:t xml:space="preserve">187 320 </w:t>
      </w:r>
      <w:r w:rsidRPr="00824378">
        <w:t xml:space="preserve">hectares is managed by the South African Forestry Company (SAFCOL) which is a State-owned company.  </w:t>
      </w:r>
    </w:p>
    <w:p w:rsidR="0075492C" w:rsidRPr="00824378" w:rsidRDefault="0075492C" w:rsidP="0075492C">
      <w:pPr>
        <w:pStyle w:val="ListParagraph"/>
        <w:spacing w:after="0"/>
        <w:jc w:val="both"/>
      </w:pPr>
    </w:p>
    <w:p w:rsidR="0075492C" w:rsidRDefault="0075492C" w:rsidP="0075492C">
      <w:pPr>
        <w:pStyle w:val="ListParagraph"/>
        <w:numPr>
          <w:ilvl w:val="0"/>
          <w:numId w:val="3"/>
        </w:numPr>
        <w:spacing w:after="0"/>
        <w:ind w:hanging="720"/>
        <w:jc w:val="both"/>
      </w:pPr>
      <w:r w:rsidRPr="00824378">
        <w:t xml:space="preserve">Each of these companies pay rental for the use of land. The rental is not fixed; it is based on the rent review that is conducted every five years. Annually, the rental increases by 65% of the Producer Price Index (PPI). The table below illustrates the rental for 2018 and the total amount of rental that has been collected by the Department from the companies. </w:t>
      </w:r>
    </w:p>
    <w:p w:rsidR="00824378" w:rsidRDefault="00824378" w:rsidP="00824378">
      <w:pPr>
        <w:pStyle w:val="ListParagraph"/>
      </w:pPr>
    </w:p>
    <w:p w:rsidR="00824378" w:rsidRPr="00824378" w:rsidRDefault="00824378" w:rsidP="00824378">
      <w:pPr>
        <w:pStyle w:val="ListParagraph"/>
        <w:spacing w:after="0"/>
        <w:jc w:val="both"/>
      </w:pPr>
    </w:p>
    <w:p w:rsidR="0075492C" w:rsidRPr="00824378" w:rsidRDefault="0075492C" w:rsidP="00824378">
      <w:pPr>
        <w:spacing w:after="0"/>
        <w:jc w:val="both"/>
      </w:pPr>
      <w:bookmarkStart w:id="0" w:name="_GoBack"/>
      <w:bookmarkEnd w:id="0"/>
    </w:p>
    <w:tbl>
      <w:tblPr>
        <w:tblStyle w:val="TableGrid"/>
        <w:tblW w:w="10065" w:type="dxa"/>
        <w:tblInd w:w="-318" w:type="dxa"/>
        <w:tblLayout w:type="fixed"/>
        <w:tblLook w:val="04A0" w:firstRow="1" w:lastRow="0" w:firstColumn="1" w:lastColumn="0" w:noHBand="0" w:noVBand="1"/>
      </w:tblPr>
      <w:tblGrid>
        <w:gridCol w:w="1702"/>
        <w:gridCol w:w="1418"/>
        <w:gridCol w:w="1275"/>
        <w:gridCol w:w="1701"/>
        <w:gridCol w:w="1985"/>
        <w:gridCol w:w="1984"/>
      </w:tblGrid>
      <w:tr w:rsidR="0075492C" w:rsidRPr="00824378" w:rsidTr="00824378">
        <w:tc>
          <w:tcPr>
            <w:tcW w:w="1702" w:type="dxa"/>
          </w:tcPr>
          <w:p w:rsidR="0075492C" w:rsidRPr="00824378" w:rsidRDefault="0075492C" w:rsidP="00FE38A4">
            <w:pPr>
              <w:spacing w:after="0"/>
              <w:jc w:val="both"/>
              <w:rPr>
                <w:b/>
              </w:rPr>
            </w:pPr>
            <w:r w:rsidRPr="00824378">
              <w:rPr>
                <w:b/>
              </w:rPr>
              <w:t>Forestry package</w:t>
            </w:r>
          </w:p>
        </w:tc>
        <w:tc>
          <w:tcPr>
            <w:tcW w:w="1418" w:type="dxa"/>
          </w:tcPr>
          <w:p w:rsidR="0075492C" w:rsidRPr="00824378" w:rsidRDefault="0075492C" w:rsidP="00FE38A4">
            <w:pPr>
              <w:spacing w:after="0"/>
              <w:jc w:val="both"/>
              <w:rPr>
                <w:b/>
              </w:rPr>
            </w:pPr>
            <w:r w:rsidRPr="00824378">
              <w:rPr>
                <w:b/>
              </w:rPr>
              <w:t xml:space="preserve">Leaseholder </w:t>
            </w:r>
          </w:p>
        </w:tc>
        <w:tc>
          <w:tcPr>
            <w:tcW w:w="1275" w:type="dxa"/>
          </w:tcPr>
          <w:p w:rsidR="0075492C" w:rsidRPr="00824378" w:rsidRDefault="0075492C" w:rsidP="00FE38A4">
            <w:pPr>
              <w:spacing w:after="0"/>
              <w:jc w:val="both"/>
              <w:rPr>
                <w:b/>
              </w:rPr>
            </w:pPr>
            <w:r w:rsidRPr="00824378">
              <w:rPr>
                <w:b/>
              </w:rPr>
              <w:t xml:space="preserve">Lease signed </w:t>
            </w:r>
          </w:p>
        </w:tc>
        <w:tc>
          <w:tcPr>
            <w:tcW w:w="1701" w:type="dxa"/>
          </w:tcPr>
          <w:p w:rsidR="0075492C" w:rsidRPr="00824378" w:rsidRDefault="0075492C" w:rsidP="00FE38A4">
            <w:pPr>
              <w:spacing w:after="0"/>
              <w:jc w:val="both"/>
              <w:rPr>
                <w:b/>
              </w:rPr>
            </w:pPr>
            <w:r w:rsidRPr="00824378">
              <w:rPr>
                <w:b/>
              </w:rPr>
              <w:t>Extent (ha)</w:t>
            </w:r>
          </w:p>
        </w:tc>
        <w:tc>
          <w:tcPr>
            <w:tcW w:w="1985" w:type="dxa"/>
          </w:tcPr>
          <w:p w:rsidR="0075492C" w:rsidRPr="00824378" w:rsidRDefault="0075492C" w:rsidP="00FE38A4">
            <w:pPr>
              <w:spacing w:after="0"/>
              <w:jc w:val="both"/>
              <w:rPr>
                <w:b/>
              </w:rPr>
            </w:pPr>
            <w:r w:rsidRPr="00824378">
              <w:rPr>
                <w:b/>
              </w:rPr>
              <w:t>Annual rent for 2018</w:t>
            </w:r>
          </w:p>
        </w:tc>
        <w:tc>
          <w:tcPr>
            <w:tcW w:w="1984" w:type="dxa"/>
          </w:tcPr>
          <w:p w:rsidR="0075492C" w:rsidRPr="00824378" w:rsidRDefault="0075492C" w:rsidP="00FE38A4">
            <w:pPr>
              <w:spacing w:after="0"/>
              <w:jc w:val="both"/>
              <w:rPr>
                <w:b/>
              </w:rPr>
            </w:pPr>
            <w:r w:rsidRPr="00824378">
              <w:rPr>
                <w:b/>
              </w:rPr>
              <w:t xml:space="preserve">Lease rental collected to date </w:t>
            </w:r>
          </w:p>
        </w:tc>
      </w:tr>
      <w:tr w:rsidR="0075492C" w:rsidRPr="00824378" w:rsidTr="00824378">
        <w:tc>
          <w:tcPr>
            <w:tcW w:w="1702" w:type="dxa"/>
          </w:tcPr>
          <w:p w:rsidR="0075492C" w:rsidRPr="00824378" w:rsidRDefault="0075492C" w:rsidP="00FE38A4">
            <w:pPr>
              <w:spacing w:after="0"/>
              <w:jc w:val="both"/>
            </w:pPr>
            <w:r w:rsidRPr="00824378">
              <w:rPr>
                <w:bCs/>
                <w:lang w:val="en-US"/>
              </w:rPr>
              <w:t>South and Western Cape</w:t>
            </w:r>
          </w:p>
        </w:tc>
        <w:tc>
          <w:tcPr>
            <w:tcW w:w="1418" w:type="dxa"/>
          </w:tcPr>
          <w:p w:rsidR="0075492C" w:rsidRPr="00824378" w:rsidRDefault="0075492C" w:rsidP="00FE38A4">
            <w:pPr>
              <w:spacing w:after="0"/>
              <w:jc w:val="both"/>
            </w:pPr>
            <w:r w:rsidRPr="00824378">
              <w:t>MTO (Pty) Ltd.</w:t>
            </w:r>
          </w:p>
        </w:tc>
        <w:tc>
          <w:tcPr>
            <w:tcW w:w="1275" w:type="dxa"/>
          </w:tcPr>
          <w:p w:rsidR="0075492C" w:rsidRPr="00824378" w:rsidRDefault="0075492C" w:rsidP="00FE38A4">
            <w:pPr>
              <w:spacing w:after="0"/>
              <w:jc w:val="both"/>
            </w:pPr>
            <w:r w:rsidRPr="00824378">
              <w:t>2005</w:t>
            </w:r>
          </w:p>
        </w:tc>
        <w:tc>
          <w:tcPr>
            <w:tcW w:w="1701" w:type="dxa"/>
          </w:tcPr>
          <w:p w:rsidR="0075492C" w:rsidRPr="00824378" w:rsidRDefault="0075492C" w:rsidP="00FE38A4">
            <w:pPr>
              <w:spacing w:after="0"/>
              <w:jc w:val="both"/>
            </w:pPr>
            <w:r w:rsidRPr="00824378">
              <w:t>57 061(ha)</w:t>
            </w:r>
          </w:p>
        </w:tc>
        <w:tc>
          <w:tcPr>
            <w:tcW w:w="1985" w:type="dxa"/>
          </w:tcPr>
          <w:p w:rsidR="0075492C" w:rsidRPr="00824378" w:rsidRDefault="0075492C" w:rsidP="00FE38A4">
            <w:pPr>
              <w:spacing w:after="0"/>
              <w:jc w:val="both"/>
            </w:pPr>
            <w:r w:rsidRPr="00824378">
              <w:t>R 4,866,896</w:t>
            </w:r>
          </w:p>
        </w:tc>
        <w:tc>
          <w:tcPr>
            <w:tcW w:w="1984" w:type="dxa"/>
          </w:tcPr>
          <w:p w:rsidR="0075492C" w:rsidRPr="00824378" w:rsidRDefault="0075492C" w:rsidP="00FE38A4">
            <w:pPr>
              <w:spacing w:after="0"/>
              <w:jc w:val="both"/>
            </w:pPr>
            <w:r w:rsidRPr="00824378">
              <w:t>R 48, 037,968</w:t>
            </w:r>
          </w:p>
        </w:tc>
      </w:tr>
      <w:tr w:rsidR="0075492C" w:rsidRPr="00824378" w:rsidTr="00824378">
        <w:tc>
          <w:tcPr>
            <w:tcW w:w="1702" w:type="dxa"/>
          </w:tcPr>
          <w:p w:rsidR="0075492C" w:rsidRPr="00824378" w:rsidRDefault="0075492C" w:rsidP="00FE38A4">
            <w:pPr>
              <w:spacing w:after="0"/>
              <w:jc w:val="both"/>
            </w:pPr>
            <w:r w:rsidRPr="00824378">
              <w:rPr>
                <w:bCs/>
                <w:lang w:val="en-GB"/>
              </w:rPr>
              <w:t>North Eastern Cape</w:t>
            </w:r>
          </w:p>
        </w:tc>
        <w:tc>
          <w:tcPr>
            <w:tcW w:w="1418" w:type="dxa"/>
          </w:tcPr>
          <w:p w:rsidR="0075492C" w:rsidRPr="00824378" w:rsidRDefault="0075492C" w:rsidP="00FE38A4">
            <w:pPr>
              <w:spacing w:after="0"/>
              <w:jc w:val="both"/>
            </w:pPr>
            <w:proofErr w:type="spellStart"/>
            <w:r w:rsidRPr="00824378">
              <w:t>Amathole</w:t>
            </w:r>
            <w:proofErr w:type="spellEnd"/>
            <w:r w:rsidRPr="00824378">
              <w:t xml:space="preserve"> (Pty) Ltd</w:t>
            </w:r>
          </w:p>
        </w:tc>
        <w:tc>
          <w:tcPr>
            <w:tcW w:w="1275" w:type="dxa"/>
          </w:tcPr>
          <w:p w:rsidR="0075492C" w:rsidRPr="00824378" w:rsidRDefault="0075492C" w:rsidP="00FE38A4">
            <w:pPr>
              <w:spacing w:after="0"/>
              <w:jc w:val="both"/>
            </w:pPr>
            <w:r w:rsidRPr="00824378">
              <w:t>2005</w:t>
            </w:r>
          </w:p>
        </w:tc>
        <w:tc>
          <w:tcPr>
            <w:tcW w:w="1701" w:type="dxa"/>
          </w:tcPr>
          <w:p w:rsidR="0075492C" w:rsidRPr="00824378" w:rsidRDefault="0075492C" w:rsidP="00FE38A4">
            <w:pPr>
              <w:spacing w:after="0"/>
              <w:jc w:val="both"/>
            </w:pPr>
            <w:r w:rsidRPr="00824378">
              <w:t>25405(ha)</w:t>
            </w:r>
          </w:p>
        </w:tc>
        <w:tc>
          <w:tcPr>
            <w:tcW w:w="1985" w:type="dxa"/>
          </w:tcPr>
          <w:p w:rsidR="0075492C" w:rsidRPr="00824378" w:rsidRDefault="0075492C" w:rsidP="00FE38A4">
            <w:pPr>
              <w:spacing w:after="0"/>
              <w:jc w:val="both"/>
            </w:pPr>
            <w:r w:rsidRPr="00824378">
              <w:t>R 3,384,743</w:t>
            </w:r>
          </w:p>
        </w:tc>
        <w:tc>
          <w:tcPr>
            <w:tcW w:w="1984" w:type="dxa"/>
          </w:tcPr>
          <w:p w:rsidR="0075492C" w:rsidRPr="00824378" w:rsidRDefault="0075492C" w:rsidP="00FE38A4">
            <w:pPr>
              <w:spacing w:after="0"/>
              <w:jc w:val="both"/>
            </w:pPr>
            <w:r w:rsidRPr="00824378">
              <w:t>R 30, 730,312</w:t>
            </w:r>
          </w:p>
        </w:tc>
      </w:tr>
      <w:tr w:rsidR="0075492C" w:rsidRPr="00824378" w:rsidTr="00824378">
        <w:tc>
          <w:tcPr>
            <w:tcW w:w="1702" w:type="dxa"/>
          </w:tcPr>
          <w:p w:rsidR="0075492C" w:rsidRPr="00824378" w:rsidRDefault="0075492C" w:rsidP="00FE38A4">
            <w:pPr>
              <w:spacing w:after="0"/>
              <w:jc w:val="both"/>
            </w:pPr>
            <w:r w:rsidRPr="00824378">
              <w:rPr>
                <w:rFonts w:eastAsia="Times New Roman"/>
                <w:lang w:val="en-US"/>
              </w:rPr>
              <w:t xml:space="preserve">KwaZulu-Natal </w:t>
            </w:r>
          </w:p>
        </w:tc>
        <w:tc>
          <w:tcPr>
            <w:tcW w:w="1418" w:type="dxa"/>
          </w:tcPr>
          <w:p w:rsidR="0075492C" w:rsidRPr="00824378" w:rsidRDefault="0075492C" w:rsidP="00FE38A4">
            <w:pPr>
              <w:spacing w:after="0"/>
              <w:jc w:val="both"/>
            </w:pPr>
            <w:proofErr w:type="spellStart"/>
            <w:r w:rsidRPr="00824378">
              <w:t>Siyaqhubeka</w:t>
            </w:r>
            <w:proofErr w:type="spellEnd"/>
            <w:r w:rsidRPr="00824378">
              <w:t xml:space="preserve"> Forestry (Pty) Ltd</w:t>
            </w:r>
          </w:p>
        </w:tc>
        <w:tc>
          <w:tcPr>
            <w:tcW w:w="1275" w:type="dxa"/>
          </w:tcPr>
          <w:p w:rsidR="0075492C" w:rsidRPr="00824378" w:rsidRDefault="0075492C" w:rsidP="00FE38A4">
            <w:pPr>
              <w:spacing w:after="0"/>
              <w:jc w:val="both"/>
            </w:pPr>
            <w:r w:rsidRPr="00824378">
              <w:t>2001</w:t>
            </w:r>
          </w:p>
        </w:tc>
        <w:tc>
          <w:tcPr>
            <w:tcW w:w="1701" w:type="dxa"/>
          </w:tcPr>
          <w:p w:rsidR="0075492C" w:rsidRPr="00824378" w:rsidRDefault="0075492C" w:rsidP="00FE38A4">
            <w:pPr>
              <w:spacing w:after="0"/>
              <w:jc w:val="both"/>
            </w:pPr>
            <w:r w:rsidRPr="00824378">
              <w:t>21 956(ha)</w:t>
            </w:r>
          </w:p>
        </w:tc>
        <w:tc>
          <w:tcPr>
            <w:tcW w:w="1985" w:type="dxa"/>
          </w:tcPr>
          <w:p w:rsidR="0075492C" w:rsidRPr="00824378" w:rsidRDefault="0075492C" w:rsidP="00FE38A4">
            <w:pPr>
              <w:spacing w:after="0"/>
              <w:jc w:val="both"/>
            </w:pPr>
            <w:r w:rsidRPr="00824378">
              <w:t>R 14,593,243</w:t>
            </w:r>
          </w:p>
        </w:tc>
        <w:tc>
          <w:tcPr>
            <w:tcW w:w="1984" w:type="dxa"/>
          </w:tcPr>
          <w:p w:rsidR="0075492C" w:rsidRPr="00824378" w:rsidRDefault="0075492C" w:rsidP="00FE38A4">
            <w:pPr>
              <w:spacing w:after="0"/>
              <w:jc w:val="both"/>
            </w:pPr>
            <w:r w:rsidRPr="00824378">
              <w:t>R158,577,728</w:t>
            </w:r>
          </w:p>
        </w:tc>
      </w:tr>
      <w:tr w:rsidR="0075492C" w:rsidRPr="00824378" w:rsidTr="00824378">
        <w:tc>
          <w:tcPr>
            <w:tcW w:w="1702" w:type="dxa"/>
          </w:tcPr>
          <w:p w:rsidR="0075492C" w:rsidRPr="00824378" w:rsidRDefault="0075492C" w:rsidP="00FE38A4">
            <w:pPr>
              <w:spacing w:after="0"/>
              <w:jc w:val="both"/>
            </w:pPr>
            <w:r w:rsidRPr="00824378">
              <w:t>Southern KZN and Northern Eastern Cape</w:t>
            </w:r>
          </w:p>
        </w:tc>
        <w:tc>
          <w:tcPr>
            <w:tcW w:w="1418" w:type="dxa"/>
          </w:tcPr>
          <w:p w:rsidR="0075492C" w:rsidRPr="00824378" w:rsidRDefault="0075492C" w:rsidP="00FE38A4">
            <w:pPr>
              <w:spacing w:after="0"/>
              <w:jc w:val="both"/>
            </w:pPr>
            <w:proofErr w:type="spellStart"/>
            <w:r w:rsidRPr="00824378">
              <w:t>Singisi</w:t>
            </w:r>
            <w:proofErr w:type="spellEnd"/>
            <w:r w:rsidRPr="00824378">
              <w:t xml:space="preserve"> Forests Products Pty Ltd</w:t>
            </w:r>
          </w:p>
        </w:tc>
        <w:tc>
          <w:tcPr>
            <w:tcW w:w="1275" w:type="dxa"/>
          </w:tcPr>
          <w:p w:rsidR="0075492C" w:rsidRPr="00824378" w:rsidRDefault="0075492C" w:rsidP="00FE38A4">
            <w:pPr>
              <w:spacing w:after="0"/>
              <w:jc w:val="both"/>
            </w:pPr>
            <w:r w:rsidRPr="00824378">
              <w:t>2001</w:t>
            </w:r>
          </w:p>
        </w:tc>
        <w:tc>
          <w:tcPr>
            <w:tcW w:w="1701" w:type="dxa"/>
          </w:tcPr>
          <w:p w:rsidR="0075492C" w:rsidRPr="00824378" w:rsidRDefault="0075492C" w:rsidP="00FE38A4">
            <w:pPr>
              <w:spacing w:after="0"/>
              <w:jc w:val="both"/>
            </w:pPr>
            <w:r w:rsidRPr="00824378">
              <w:t>76 563(ha)</w:t>
            </w:r>
          </w:p>
        </w:tc>
        <w:tc>
          <w:tcPr>
            <w:tcW w:w="1985" w:type="dxa"/>
          </w:tcPr>
          <w:p w:rsidR="0075492C" w:rsidRPr="00824378" w:rsidRDefault="0075492C" w:rsidP="00FE38A4">
            <w:pPr>
              <w:spacing w:after="0"/>
              <w:jc w:val="both"/>
            </w:pPr>
            <w:r w:rsidRPr="00824378">
              <w:t>R 10,842,258</w:t>
            </w:r>
          </w:p>
        </w:tc>
        <w:tc>
          <w:tcPr>
            <w:tcW w:w="1984" w:type="dxa"/>
          </w:tcPr>
          <w:p w:rsidR="0075492C" w:rsidRPr="00824378" w:rsidRDefault="0075492C" w:rsidP="00FE38A4">
            <w:pPr>
              <w:spacing w:after="0"/>
              <w:jc w:val="both"/>
            </w:pPr>
            <w:r w:rsidRPr="00824378">
              <w:t>R136,004,975</w:t>
            </w:r>
          </w:p>
        </w:tc>
      </w:tr>
      <w:tr w:rsidR="0075492C" w:rsidRPr="00824378" w:rsidTr="00824378">
        <w:tc>
          <w:tcPr>
            <w:tcW w:w="1702" w:type="dxa"/>
          </w:tcPr>
          <w:p w:rsidR="0075492C" w:rsidRPr="00824378" w:rsidRDefault="0075492C" w:rsidP="00FE38A4">
            <w:pPr>
              <w:spacing w:after="0"/>
              <w:jc w:val="both"/>
            </w:pPr>
            <w:r w:rsidRPr="00824378">
              <w:t xml:space="preserve">Limpopo, Mpumalanga and Northern KwaZulu-Natal </w:t>
            </w:r>
          </w:p>
        </w:tc>
        <w:tc>
          <w:tcPr>
            <w:tcW w:w="1418" w:type="dxa"/>
          </w:tcPr>
          <w:p w:rsidR="0075492C" w:rsidRPr="00824378" w:rsidRDefault="0075492C" w:rsidP="00FE38A4">
            <w:pPr>
              <w:spacing w:after="0"/>
              <w:jc w:val="both"/>
            </w:pPr>
            <w:r w:rsidRPr="00824378">
              <w:t>SAFCOL</w:t>
            </w:r>
          </w:p>
        </w:tc>
        <w:tc>
          <w:tcPr>
            <w:tcW w:w="1275" w:type="dxa"/>
          </w:tcPr>
          <w:p w:rsidR="0075492C" w:rsidRPr="00824378" w:rsidRDefault="0075492C" w:rsidP="00FE38A4">
            <w:pPr>
              <w:spacing w:after="0"/>
              <w:jc w:val="both"/>
            </w:pPr>
            <w:r w:rsidRPr="00824378">
              <w:t>1992</w:t>
            </w:r>
          </w:p>
        </w:tc>
        <w:tc>
          <w:tcPr>
            <w:tcW w:w="1701" w:type="dxa"/>
          </w:tcPr>
          <w:p w:rsidR="0075492C" w:rsidRPr="00824378" w:rsidRDefault="0075492C" w:rsidP="00FE38A4">
            <w:pPr>
              <w:spacing w:after="0"/>
              <w:jc w:val="both"/>
            </w:pPr>
            <w:r w:rsidRPr="00824378">
              <w:t>187 320</w:t>
            </w:r>
          </w:p>
        </w:tc>
        <w:tc>
          <w:tcPr>
            <w:tcW w:w="1985" w:type="dxa"/>
          </w:tcPr>
          <w:p w:rsidR="0075492C" w:rsidRPr="00824378" w:rsidRDefault="0075492C" w:rsidP="00FE38A4">
            <w:pPr>
              <w:spacing w:after="0"/>
              <w:jc w:val="both"/>
            </w:pPr>
            <w:r w:rsidRPr="00824378">
              <w:t>R 62,846,084</w:t>
            </w:r>
          </w:p>
        </w:tc>
        <w:tc>
          <w:tcPr>
            <w:tcW w:w="1984" w:type="dxa"/>
          </w:tcPr>
          <w:p w:rsidR="0075492C" w:rsidRPr="00824378" w:rsidRDefault="0075492C" w:rsidP="00FE38A4">
            <w:pPr>
              <w:spacing w:after="0"/>
              <w:jc w:val="both"/>
            </w:pPr>
            <w:r w:rsidRPr="00824378">
              <w:t>R 205,884,456</w:t>
            </w:r>
          </w:p>
        </w:tc>
      </w:tr>
    </w:tbl>
    <w:p w:rsidR="0075492C" w:rsidRPr="00824378" w:rsidRDefault="0075492C" w:rsidP="0075492C">
      <w:pPr>
        <w:spacing w:after="0"/>
        <w:jc w:val="both"/>
        <w:rPr>
          <w:rFonts w:eastAsia="Times New Roman"/>
          <w:lang w:val="en-US"/>
        </w:rPr>
      </w:pPr>
    </w:p>
    <w:p w:rsidR="005F561C" w:rsidRPr="00824378" w:rsidRDefault="00824378" w:rsidP="0075492C"/>
    <w:sectPr w:rsidR="005F561C" w:rsidRPr="00824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0D5"/>
    <w:multiLevelType w:val="hybridMultilevel"/>
    <w:tmpl w:val="8E049A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F307824"/>
    <w:multiLevelType w:val="hybridMultilevel"/>
    <w:tmpl w:val="8D16EAAC"/>
    <w:lvl w:ilvl="0" w:tplc="6AAA7ED4">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A711276"/>
    <w:multiLevelType w:val="hybridMultilevel"/>
    <w:tmpl w:val="CFD49C6A"/>
    <w:lvl w:ilvl="0" w:tplc="08F63C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2C"/>
    <w:rsid w:val="00186AC3"/>
    <w:rsid w:val="00405B27"/>
    <w:rsid w:val="0075492C"/>
    <w:rsid w:val="00824378"/>
    <w:rsid w:val="00D96FB6"/>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2C"/>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75492C"/>
    <w:pPr>
      <w:spacing w:after="0"/>
      <w:ind w:left="425"/>
    </w:pPr>
  </w:style>
  <w:style w:type="table" w:styleId="TableGrid">
    <w:name w:val="Table Grid"/>
    <w:basedOn w:val="TableNormal"/>
    <w:uiPriority w:val="99"/>
    <w:rsid w:val="0075492C"/>
    <w:pPr>
      <w:spacing w:after="0" w:line="240" w:lineRule="auto"/>
    </w:pPr>
    <w:rPr>
      <w:rFonts w:ascii="Arial" w:eastAsia="Calibri" w:hAnsi="Arial" w:cs="Arial"/>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2C"/>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75492C"/>
    <w:pPr>
      <w:spacing w:after="0"/>
      <w:ind w:left="425"/>
    </w:pPr>
  </w:style>
  <w:style w:type="table" w:styleId="TableGrid">
    <w:name w:val="Table Grid"/>
    <w:basedOn w:val="TableNormal"/>
    <w:uiPriority w:val="99"/>
    <w:rsid w:val="0075492C"/>
    <w:pPr>
      <w:spacing w:after="0" w:line="240" w:lineRule="auto"/>
    </w:pPr>
    <w:rPr>
      <w:rFonts w:ascii="Arial" w:eastAsia="Calibri" w:hAnsi="Arial" w:cs="Arial"/>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dcterms:created xsi:type="dcterms:W3CDTF">2018-03-09T13:41:00Z</dcterms:created>
  <dcterms:modified xsi:type="dcterms:W3CDTF">2018-03-09T14:10:00Z</dcterms:modified>
</cp:coreProperties>
</file>