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BF" w:rsidRPr="003039BF" w:rsidRDefault="003039BF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NATIONAL ASSEMBLY</w:t>
      </w:r>
    </w:p>
    <w:p w:rsidR="003039BF" w:rsidRPr="003039BF" w:rsidRDefault="003039BF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WRITTEN REPLY</w:t>
      </w:r>
    </w:p>
    <w:p w:rsidR="003039BF" w:rsidRPr="003039BF" w:rsidRDefault="003039BF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QUESTION 2607.</w:t>
      </w:r>
    </w:p>
    <w:p w:rsidR="003039BF" w:rsidRPr="003039BF" w:rsidRDefault="003039BF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DATE OF PUBLICATION OF INTERNAL QUESTION PAPER: 26/11/2021</w:t>
      </w:r>
    </w:p>
    <w:p w:rsidR="00967828" w:rsidRPr="003039BF" w:rsidRDefault="005F77C7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INTERNAL QUESTION PAPER: 29/2021</w:t>
      </w:r>
    </w:p>
    <w:p w:rsidR="00967828" w:rsidRPr="003039BF" w:rsidRDefault="00967828" w:rsidP="003039BF">
      <w:pPr>
        <w:rPr>
          <w:b/>
          <w:sz w:val="20"/>
          <w:szCs w:val="20"/>
        </w:rPr>
      </w:pPr>
    </w:p>
    <w:p w:rsidR="00967828" w:rsidRPr="003039BF" w:rsidRDefault="005F77C7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2607. Mr B B Nodada (DA) to ask the Minister of Basic Education: to ask the Minister of Basic Education:</w:t>
      </w:r>
    </w:p>
    <w:p w:rsidR="00967828" w:rsidRPr="003039BF" w:rsidRDefault="00967828" w:rsidP="003039BF">
      <w:pPr>
        <w:rPr>
          <w:sz w:val="20"/>
          <w:szCs w:val="20"/>
        </w:rPr>
      </w:pPr>
    </w:p>
    <w:p w:rsidR="00967828" w:rsidRPr="003039BF" w:rsidRDefault="00967828" w:rsidP="003039BF">
      <w:pPr>
        <w:rPr>
          <w:sz w:val="20"/>
          <w:szCs w:val="20"/>
        </w:rPr>
      </w:pPr>
    </w:p>
    <w:p w:rsidR="00967828" w:rsidRPr="003039BF" w:rsidRDefault="003039BF" w:rsidP="003039BF">
      <w:pPr>
        <w:rPr>
          <w:sz w:val="20"/>
          <w:szCs w:val="20"/>
        </w:rPr>
      </w:pPr>
      <w:r>
        <w:rPr>
          <w:sz w:val="20"/>
          <w:szCs w:val="20"/>
        </w:rPr>
        <w:t xml:space="preserve">(1). </w:t>
      </w:r>
      <w:r w:rsidR="005F77C7" w:rsidRPr="003039BF">
        <w:rPr>
          <w:sz w:val="20"/>
          <w:szCs w:val="20"/>
        </w:rPr>
        <w:t>Whether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her</w:t>
      </w:r>
      <w:r w:rsidR="005F77C7" w:rsidRPr="003039BF">
        <w:rPr>
          <w:spacing w:val="-11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department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has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begun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to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develop</w:t>
      </w:r>
      <w:r w:rsidR="005F77C7" w:rsidRPr="003039BF">
        <w:rPr>
          <w:spacing w:val="-6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a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policy</w:t>
      </w:r>
      <w:r w:rsidR="005F77C7" w:rsidRPr="003039BF">
        <w:rPr>
          <w:spacing w:val="-1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for</w:t>
      </w:r>
      <w:r w:rsidR="005F77C7" w:rsidRPr="003039BF">
        <w:rPr>
          <w:spacing w:val="-1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home- schooling</w:t>
      </w:r>
      <w:r w:rsidR="005F77C7" w:rsidRPr="003039BF">
        <w:rPr>
          <w:spacing w:val="-11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and</w:t>
      </w:r>
      <w:r w:rsidR="005F77C7" w:rsidRPr="003039BF">
        <w:rPr>
          <w:spacing w:val="-8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virtual</w:t>
      </w:r>
      <w:r w:rsidR="005F77C7" w:rsidRPr="003039BF">
        <w:rPr>
          <w:spacing w:val="-10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learning;</w:t>
      </w:r>
      <w:r w:rsidR="005F77C7" w:rsidRPr="003039BF">
        <w:rPr>
          <w:spacing w:val="-8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if</w:t>
      </w:r>
      <w:r w:rsidR="005F77C7" w:rsidRPr="003039BF">
        <w:rPr>
          <w:spacing w:val="-7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not,</w:t>
      </w:r>
      <w:r w:rsidR="005F77C7" w:rsidRPr="003039BF">
        <w:rPr>
          <w:spacing w:val="-8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why</w:t>
      </w:r>
      <w:r w:rsidR="005F77C7" w:rsidRPr="003039BF">
        <w:rPr>
          <w:spacing w:val="-1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not;</w:t>
      </w:r>
      <w:r w:rsidR="005F77C7" w:rsidRPr="003039BF">
        <w:rPr>
          <w:spacing w:val="-8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if</w:t>
      </w:r>
      <w:r w:rsidR="005F77C7" w:rsidRPr="003039BF">
        <w:rPr>
          <w:spacing w:val="-6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so,</w:t>
      </w:r>
      <w:r w:rsidR="005F77C7" w:rsidRPr="003039BF">
        <w:rPr>
          <w:spacing w:val="-9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what</w:t>
      </w:r>
      <w:r w:rsidR="005F77C7" w:rsidRPr="003039BF">
        <w:rPr>
          <w:spacing w:val="-9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are</w:t>
      </w:r>
      <w:r w:rsidR="005F77C7" w:rsidRPr="003039BF">
        <w:rPr>
          <w:spacing w:val="-9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the</w:t>
      </w:r>
      <w:r w:rsidR="005F77C7" w:rsidRPr="003039BF">
        <w:rPr>
          <w:spacing w:val="-7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relevant details;</w:t>
      </w:r>
    </w:p>
    <w:p w:rsidR="00967828" w:rsidRPr="003039BF" w:rsidRDefault="00967828" w:rsidP="003039BF">
      <w:pPr>
        <w:rPr>
          <w:sz w:val="20"/>
          <w:szCs w:val="20"/>
        </w:rPr>
      </w:pPr>
    </w:p>
    <w:p w:rsidR="00967828" w:rsidRPr="003039BF" w:rsidRDefault="003039BF" w:rsidP="003039BF">
      <w:pPr>
        <w:rPr>
          <w:sz w:val="20"/>
          <w:szCs w:val="20"/>
        </w:rPr>
      </w:pPr>
      <w:r>
        <w:rPr>
          <w:sz w:val="20"/>
          <w:szCs w:val="20"/>
        </w:rPr>
        <w:t xml:space="preserve">(2). </w:t>
      </w:r>
      <w:r w:rsidR="005F77C7" w:rsidRPr="003039BF">
        <w:rPr>
          <w:sz w:val="20"/>
          <w:szCs w:val="20"/>
        </w:rPr>
        <w:t>whether, in light of the fact that COVID-19 has highlighted the need for more flexible and innovative teaching and learning methods, her</w:t>
      </w:r>
      <w:r w:rsidR="005F77C7" w:rsidRPr="003039BF">
        <w:rPr>
          <w:spacing w:val="-5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department</w:t>
      </w:r>
      <w:r w:rsidR="005F77C7" w:rsidRPr="003039BF">
        <w:rPr>
          <w:spacing w:val="-6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foresees</w:t>
      </w:r>
      <w:r w:rsidR="005F77C7" w:rsidRPr="003039BF">
        <w:rPr>
          <w:spacing w:val="-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online</w:t>
      </w:r>
      <w:r w:rsidR="005F77C7" w:rsidRPr="003039BF">
        <w:rPr>
          <w:spacing w:val="-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schools</w:t>
      </w:r>
      <w:r w:rsidR="005F77C7" w:rsidRPr="003039BF">
        <w:rPr>
          <w:spacing w:val="-5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in</w:t>
      </w:r>
      <w:r w:rsidR="005F77C7" w:rsidRPr="003039BF">
        <w:rPr>
          <w:spacing w:val="-6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the</w:t>
      </w:r>
      <w:r w:rsidR="005F77C7" w:rsidRPr="003039BF">
        <w:rPr>
          <w:spacing w:val="-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near</w:t>
      </w:r>
      <w:r w:rsidR="005F77C7" w:rsidRPr="003039BF">
        <w:rPr>
          <w:spacing w:val="-7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future;</w:t>
      </w:r>
      <w:r w:rsidR="005F77C7" w:rsidRPr="003039BF">
        <w:rPr>
          <w:spacing w:val="-6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if</w:t>
      </w:r>
      <w:r w:rsidR="005F77C7" w:rsidRPr="003039BF">
        <w:rPr>
          <w:spacing w:val="-2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not,</w:t>
      </w:r>
      <w:r w:rsidR="005F77C7" w:rsidRPr="003039BF">
        <w:rPr>
          <w:spacing w:val="-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what</w:t>
      </w:r>
      <w:r w:rsidR="005F77C7" w:rsidRPr="003039BF">
        <w:rPr>
          <w:spacing w:val="-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is the position in this regard; if so, what are the relevant</w:t>
      </w:r>
      <w:r w:rsidR="005F77C7" w:rsidRPr="003039BF">
        <w:rPr>
          <w:spacing w:val="-13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details?</w:t>
      </w:r>
    </w:p>
    <w:p w:rsidR="003039BF" w:rsidRPr="003039BF" w:rsidRDefault="003039BF" w:rsidP="003039BF">
      <w:pPr>
        <w:rPr>
          <w:sz w:val="20"/>
          <w:szCs w:val="20"/>
        </w:rPr>
      </w:pPr>
    </w:p>
    <w:p w:rsidR="003039BF" w:rsidRPr="003039BF" w:rsidRDefault="003039BF" w:rsidP="003039BF">
      <w:pPr>
        <w:rPr>
          <w:b/>
          <w:sz w:val="20"/>
          <w:szCs w:val="20"/>
        </w:rPr>
      </w:pPr>
      <w:r w:rsidRPr="003039BF">
        <w:rPr>
          <w:b/>
          <w:sz w:val="20"/>
          <w:szCs w:val="20"/>
        </w:rPr>
        <w:t>Response</w:t>
      </w:r>
    </w:p>
    <w:p w:rsidR="00967828" w:rsidRPr="003039BF" w:rsidRDefault="00967828" w:rsidP="003039BF">
      <w:pPr>
        <w:rPr>
          <w:sz w:val="20"/>
          <w:szCs w:val="20"/>
        </w:rPr>
      </w:pPr>
    </w:p>
    <w:p w:rsidR="00967828" w:rsidRPr="003039BF" w:rsidRDefault="003039BF" w:rsidP="003039BF">
      <w:pPr>
        <w:rPr>
          <w:sz w:val="20"/>
          <w:szCs w:val="20"/>
        </w:rPr>
      </w:pPr>
      <w:r>
        <w:rPr>
          <w:sz w:val="20"/>
          <w:szCs w:val="20"/>
        </w:rPr>
        <w:t xml:space="preserve">(1). </w:t>
      </w:r>
      <w:r w:rsidR="005F77C7" w:rsidRPr="003039BF">
        <w:rPr>
          <w:sz w:val="20"/>
          <w:szCs w:val="20"/>
        </w:rPr>
        <w:t>There is a Policy on Home Education, which was promulgated in</w:t>
      </w:r>
      <w:r w:rsidR="005F77C7" w:rsidRPr="003039BF">
        <w:rPr>
          <w:spacing w:val="-14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2018.</w:t>
      </w:r>
    </w:p>
    <w:p w:rsidR="00967828" w:rsidRPr="003039BF" w:rsidRDefault="00967828" w:rsidP="003039BF">
      <w:pPr>
        <w:rPr>
          <w:sz w:val="20"/>
          <w:szCs w:val="20"/>
        </w:rPr>
      </w:pPr>
    </w:p>
    <w:p w:rsidR="00967828" w:rsidRPr="003039BF" w:rsidRDefault="003039BF" w:rsidP="003039BF">
      <w:pPr>
        <w:rPr>
          <w:sz w:val="20"/>
          <w:szCs w:val="20"/>
        </w:rPr>
      </w:pPr>
      <w:r>
        <w:rPr>
          <w:sz w:val="20"/>
          <w:szCs w:val="20"/>
        </w:rPr>
        <w:t xml:space="preserve">(2). </w:t>
      </w:r>
      <w:r w:rsidR="005F77C7" w:rsidRPr="003039BF">
        <w:rPr>
          <w:sz w:val="20"/>
          <w:szCs w:val="20"/>
        </w:rPr>
        <w:t>The department has developed a draft framework for the establishment of the online private and public schools. The purpose of the framework is to address the policy ga</w:t>
      </w:r>
      <w:r w:rsidR="005F77C7" w:rsidRPr="003039BF">
        <w:rPr>
          <w:sz w:val="20"/>
          <w:szCs w:val="20"/>
        </w:rPr>
        <w:t>p and provide guidance on the procedure for the establishment of the</w:t>
      </w:r>
      <w:r w:rsidR="005F77C7" w:rsidRPr="003039BF">
        <w:rPr>
          <w:spacing w:val="-47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Online School. The framework has been shared with Provincial Education Departments for input and comments before it can be distributed to other</w:t>
      </w:r>
      <w:r w:rsidR="005F77C7" w:rsidRPr="003039BF">
        <w:rPr>
          <w:spacing w:val="-15"/>
          <w:sz w:val="20"/>
          <w:szCs w:val="20"/>
        </w:rPr>
        <w:t xml:space="preserve"> </w:t>
      </w:r>
      <w:r w:rsidR="005F77C7" w:rsidRPr="003039BF">
        <w:rPr>
          <w:sz w:val="20"/>
          <w:szCs w:val="20"/>
        </w:rPr>
        <w:t>stakeholders.</w:t>
      </w:r>
    </w:p>
    <w:sectPr w:rsidR="00967828" w:rsidRPr="003039BF" w:rsidSect="00967828">
      <w:headerReference w:type="default" r:id="rId7"/>
      <w:pgSz w:w="11910" w:h="16840"/>
      <w:pgMar w:top="2560" w:right="1320" w:bottom="280" w:left="1340" w:header="71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C7" w:rsidRDefault="005F77C7" w:rsidP="00967828">
      <w:r>
        <w:separator/>
      </w:r>
    </w:p>
  </w:endnote>
  <w:endnote w:type="continuationSeparator" w:id="0">
    <w:p w:rsidR="005F77C7" w:rsidRDefault="005F77C7" w:rsidP="0096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C7" w:rsidRDefault="005F77C7" w:rsidP="00967828">
      <w:r>
        <w:separator/>
      </w:r>
    </w:p>
  </w:footnote>
  <w:footnote w:type="continuationSeparator" w:id="0">
    <w:p w:rsidR="005F77C7" w:rsidRDefault="005F77C7" w:rsidP="00967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28" w:rsidRDefault="0096782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4FFF"/>
    <w:multiLevelType w:val="hybridMultilevel"/>
    <w:tmpl w:val="6A525504"/>
    <w:lvl w:ilvl="0" w:tplc="FA3A0EBC">
      <w:start w:val="1"/>
      <w:numFmt w:val="decimal"/>
      <w:lvlText w:val="(%1)"/>
      <w:lvlJc w:val="left"/>
      <w:pPr>
        <w:ind w:left="1540" w:hanging="747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EA08F70A">
      <w:numFmt w:val="bullet"/>
      <w:lvlText w:val="•"/>
      <w:lvlJc w:val="left"/>
      <w:pPr>
        <w:ind w:left="2310" w:hanging="747"/>
      </w:pPr>
      <w:rPr>
        <w:rFonts w:hint="default"/>
        <w:lang w:val="en-US" w:eastAsia="en-US" w:bidi="en-US"/>
      </w:rPr>
    </w:lvl>
    <w:lvl w:ilvl="2" w:tplc="FC4C7E30">
      <w:numFmt w:val="bullet"/>
      <w:lvlText w:val="•"/>
      <w:lvlJc w:val="left"/>
      <w:pPr>
        <w:ind w:left="3081" w:hanging="747"/>
      </w:pPr>
      <w:rPr>
        <w:rFonts w:hint="default"/>
        <w:lang w:val="en-US" w:eastAsia="en-US" w:bidi="en-US"/>
      </w:rPr>
    </w:lvl>
    <w:lvl w:ilvl="3" w:tplc="62A85EA8">
      <w:numFmt w:val="bullet"/>
      <w:lvlText w:val="•"/>
      <w:lvlJc w:val="left"/>
      <w:pPr>
        <w:ind w:left="3851" w:hanging="747"/>
      </w:pPr>
      <w:rPr>
        <w:rFonts w:hint="default"/>
        <w:lang w:val="en-US" w:eastAsia="en-US" w:bidi="en-US"/>
      </w:rPr>
    </w:lvl>
    <w:lvl w:ilvl="4" w:tplc="B9380D52">
      <w:numFmt w:val="bullet"/>
      <w:lvlText w:val="•"/>
      <w:lvlJc w:val="left"/>
      <w:pPr>
        <w:ind w:left="4622" w:hanging="747"/>
      </w:pPr>
      <w:rPr>
        <w:rFonts w:hint="default"/>
        <w:lang w:val="en-US" w:eastAsia="en-US" w:bidi="en-US"/>
      </w:rPr>
    </w:lvl>
    <w:lvl w:ilvl="5" w:tplc="701A20EC">
      <w:numFmt w:val="bullet"/>
      <w:lvlText w:val="•"/>
      <w:lvlJc w:val="left"/>
      <w:pPr>
        <w:ind w:left="5393" w:hanging="747"/>
      </w:pPr>
      <w:rPr>
        <w:rFonts w:hint="default"/>
        <w:lang w:val="en-US" w:eastAsia="en-US" w:bidi="en-US"/>
      </w:rPr>
    </w:lvl>
    <w:lvl w:ilvl="6" w:tplc="73C49F44">
      <w:numFmt w:val="bullet"/>
      <w:lvlText w:val="•"/>
      <w:lvlJc w:val="left"/>
      <w:pPr>
        <w:ind w:left="6163" w:hanging="747"/>
      </w:pPr>
      <w:rPr>
        <w:rFonts w:hint="default"/>
        <w:lang w:val="en-US" w:eastAsia="en-US" w:bidi="en-US"/>
      </w:rPr>
    </w:lvl>
    <w:lvl w:ilvl="7" w:tplc="662AD26A">
      <w:numFmt w:val="bullet"/>
      <w:lvlText w:val="•"/>
      <w:lvlJc w:val="left"/>
      <w:pPr>
        <w:ind w:left="6934" w:hanging="747"/>
      </w:pPr>
      <w:rPr>
        <w:rFonts w:hint="default"/>
        <w:lang w:val="en-US" w:eastAsia="en-US" w:bidi="en-US"/>
      </w:rPr>
    </w:lvl>
    <w:lvl w:ilvl="8" w:tplc="C7743012">
      <w:numFmt w:val="bullet"/>
      <w:lvlText w:val="•"/>
      <w:lvlJc w:val="left"/>
      <w:pPr>
        <w:ind w:left="7705" w:hanging="747"/>
      </w:pPr>
      <w:rPr>
        <w:rFonts w:hint="default"/>
        <w:lang w:val="en-US" w:eastAsia="en-US" w:bidi="en-US"/>
      </w:rPr>
    </w:lvl>
  </w:abstractNum>
  <w:abstractNum w:abstractNumId="1">
    <w:nsid w:val="6AC37E91"/>
    <w:multiLevelType w:val="hybridMultilevel"/>
    <w:tmpl w:val="AB766AAE"/>
    <w:lvl w:ilvl="0" w:tplc="2B1064FC">
      <w:start w:val="1"/>
      <w:numFmt w:val="decimal"/>
      <w:lvlText w:val="(%1)"/>
      <w:lvlJc w:val="left"/>
      <w:pPr>
        <w:ind w:left="46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ACFCE770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en-US"/>
      </w:rPr>
    </w:lvl>
    <w:lvl w:ilvl="2" w:tplc="784427E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en-US"/>
      </w:rPr>
    </w:lvl>
    <w:lvl w:ilvl="3" w:tplc="EBCEF56A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 w:tplc="8C6203BE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en-US"/>
      </w:rPr>
    </w:lvl>
    <w:lvl w:ilvl="5" w:tplc="01FEB100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en-US"/>
      </w:rPr>
    </w:lvl>
    <w:lvl w:ilvl="6" w:tplc="ECE6EB0E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en-US"/>
      </w:rPr>
    </w:lvl>
    <w:lvl w:ilvl="7" w:tplc="382EC71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DD5CA376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7828"/>
    <w:rsid w:val="003039BF"/>
    <w:rsid w:val="005F77C7"/>
    <w:rsid w:val="0096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782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67828"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782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67828"/>
    <w:pPr>
      <w:ind w:left="1540"/>
      <w:jc w:val="both"/>
    </w:pPr>
  </w:style>
  <w:style w:type="paragraph" w:customStyle="1" w:styleId="TableParagraph">
    <w:name w:val="Table Paragraph"/>
    <w:basedOn w:val="Normal"/>
    <w:uiPriority w:val="1"/>
    <w:qFormat/>
    <w:rsid w:val="00967828"/>
  </w:style>
  <w:style w:type="paragraph" w:styleId="Header">
    <w:name w:val="header"/>
    <w:basedOn w:val="Normal"/>
    <w:link w:val="HeaderChar"/>
    <w:uiPriority w:val="99"/>
    <w:semiHidden/>
    <w:unhideWhenUsed/>
    <w:rsid w:val="00303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9B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03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9B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2022-01-20T19:43:00Z</dcterms:created>
  <dcterms:modified xsi:type="dcterms:W3CDTF">2022-01-20T20:15:00Z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