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Default="008A7DCE">
      <w:pPr>
        <w:rPr>
          <w:sz w:val="10"/>
          <w:szCs w:val="16"/>
        </w:rPr>
      </w:pPr>
    </w:p>
    <w:p w:rsidR="008A7DCE" w:rsidRDefault="00162124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012F1">
        <w:rPr>
          <w:rFonts w:ascii="Arial" w:hAnsi="Arial" w:cs="Arial"/>
          <w:b/>
          <w:sz w:val="22"/>
          <w:szCs w:val="22"/>
          <w:u w:val="single"/>
        </w:rPr>
        <w:t>2</w:t>
      </w:r>
      <w:r w:rsidR="00ED51A5">
        <w:rPr>
          <w:rFonts w:ascii="Arial" w:hAnsi="Arial" w:cs="Arial"/>
          <w:b/>
          <w:sz w:val="22"/>
          <w:szCs w:val="22"/>
          <w:u w:val="single"/>
        </w:rPr>
        <w:t>600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0012F1">
        <w:rPr>
          <w:rFonts w:ascii="Arial" w:hAnsi="Arial" w:cs="Arial"/>
          <w:b/>
          <w:sz w:val="22"/>
          <w:szCs w:val="22"/>
          <w:u w:val="single"/>
        </w:rPr>
        <w:t>1 SEPTEMBER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012F1">
        <w:rPr>
          <w:rFonts w:ascii="Arial" w:hAnsi="Arial" w:cs="Arial"/>
          <w:b/>
          <w:sz w:val="22"/>
          <w:szCs w:val="22"/>
          <w:u w:val="single"/>
        </w:rPr>
        <w:t>31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D51A5" w:rsidRPr="00ED51A5" w:rsidRDefault="00ED51A5" w:rsidP="00ED51A5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ED51A5">
        <w:rPr>
          <w:rFonts w:ascii="Arial" w:eastAsia="Calibri" w:hAnsi="Arial" w:cs="Arial"/>
          <w:b/>
          <w:sz w:val="22"/>
          <w:szCs w:val="22"/>
          <w:lang w:val="en-ZA"/>
        </w:rPr>
        <w:t>2600.</w:t>
      </w:r>
      <w:r w:rsidRPr="00ED51A5">
        <w:rPr>
          <w:rFonts w:ascii="Arial" w:eastAsia="Calibri" w:hAnsi="Arial" w:cs="Arial"/>
          <w:b/>
          <w:sz w:val="22"/>
          <w:szCs w:val="22"/>
          <w:lang w:val="en-ZA"/>
        </w:rPr>
        <w:tab/>
        <w:t>Ms L Mathys (EFF) to ask the Minister of Water and Sanitation:</w:t>
      </w:r>
    </w:p>
    <w:p w:rsidR="00BB3141" w:rsidRPr="009A5FD3" w:rsidRDefault="00ED51A5" w:rsidP="009A5FD3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ED51A5">
        <w:rPr>
          <w:rFonts w:ascii="Arial" w:hAnsi="Arial" w:cs="Arial"/>
          <w:sz w:val="22"/>
          <w:szCs w:val="22"/>
        </w:rPr>
        <w:t xml:space="preserve">What </w:t>
      </w:r>
      <w:r w:rsidR="009A5FD3" w:rsidRPr="00ED51A5">
        <w:rPr>
          <w:rFonts w:ascii="Arial" w:hAnsi="Arial" w:cs="Arial"/>
          <w:sz w:val="22"/>
          <w:szCs w:val="22"/>
        </w:rPr>
        <w:t>numbers of mines were</w:t>
      </w:r>
      <w:r w:rsidRPr="00ED51A5">
        <w:rPr>
          <w:rFonts w:ascii="Arial" w:hAnsi="Arial" w:cs="Arial"/>
          <w:sz w:val="22"/>
          <w:szCs w:val="22"/>
        </w:rPr>
        <w:t xml:space="preserve"> found </w:t>
      </w:r>
      <w:r w:rsidRPr="00ED51A5">
        <w:rPr>
          <w:rFonts w:ascii="Arial" w:eastAsia="Calibri" w:hAnsi="Arial" w:cs="Arial"/>
          <w:sz w:val="22"/>
          <w:szCs w:val="22"/>
          <w:lang w:val="en-ZA"/>
        </w:rPr>
        <w:t xml:space="preserve">not to be compliant with regulations pertaining to water use licences (a) in the 2016-17 financial </w:t>
      </w:r>
      <w:r w:rsidR="009A5FD3" w:rsidRPr="00ED51A5">
        <w:rPr>
          <w:rFonts w:ascii="Arial" w:eastAsia="Calibri" w:hAnsi="Arial" w:cs="Arial"/>
          <w:sz w:val="22"/>
          <w:szCs w:val="22"/>
          <w:lang w:val="en-ZA"/>
        </w:rPr>
        <w:t>years</w:t>
      </w:r>
      <w:r w:rsidRPr="00ED51A5">
        <w:rPr>
          <w:rFonts w:ascii="Arial" w:eastAsia="Calibri" w:hAnsi="Arial" w:cs="Arial"/>
          <w:sz w:val="22"/>
          <w:szCs w:val="22"/>
          <w:lang w:val="en-ZA"/>
        </w:rPr>
        <w:t xml:space="preserve"> and (b) since 1 April 2017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ED51A5">
        <w:rPr>
          <w:rFonts w:ascii="Arial" w:hAnsi="Arial" w:cs="Arial"/>
          <w:sz w:val="16"/>
          <w:szCs w:val="16"/>
        </w:rPr>
        <w:t>NW2905E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Pr="003861DF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847B9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992D00">
        <w:rPr>
          <w:rFonts w:ascii="Arial" w:hAnsi="Arial" w:cs="Arial"/>
          <w:sz w:val="22"/>
          <w:szCs w:val="22"/>
        </w:rPr>
        <w:t xml:space="preserve">So far there is no mine that </w:t>
      </w:r>
      <w:r w:rsidR="00E75CC7">
        <w:rPr>
          <w:rFonts w:ascii="Arial" w:hAnsi="Arial" w:cs="Arial"/>
          <w:sz w:val="22"/>
          <w:szCs w:val="22"/>
        </w:rPr>
        <w:t>achieved a hundred percent compliance</w:t>
      </w:r>
      <w:r w:rsidR="00992D00">
        <w:rPr>
          <w:rFonts w:ascii="Arial" w:hAnsi="Arial" w:cs="Arial"/>
          <w:sz w:val="22"/>
          <w:szCs w:val="22"/>
        </w:rPr>
        <w:t xml:space="preserve"> </w:t>
      </w:r>
      <w:r w:rsidR="00D5796D">
        <w:rPr>
          <w:rFonts w:ascii="Arial" w:hAnsi="Arial" w:cs="Arial"/>
          <w:sz w:val="22"/>
          <w:szCs w:val="22"/>
        </w:rPr>
        <w:t>with</w:t>
      </w:r>
      <w:r w:rsidR="00992D00">
        <w:rPr>
          <w:rFonts w:ascii="Arial" w:hAnsi="Arial" w:cs="Arial"/>
          <w:sz w:val="22"/>
          <w:szCs w:val="22"/>
        </w:rPr>
        <w:t xml:space="preserve"> </w:t>
      </w:r>
      <w:r w:rsidR="00E75CC7">
        <w:rPr>
          <w:rFonts w:ascii="Arial" w:hAnsi="Arial" w:cs="Arial"/>
          <w:sz w:val="22"/>
          <w:szCs w:val="22"/>
        </w:rPr>
        <w:t>its</w:t>
      </w:r>
      <w:r w:rsidR="00992D00">
        <w:rPr>
          <w:rFonts w:ascii="Arial" w:hAnsi="Arial" w:cs="Arial"/>
          <w:sz w:val="22"/>
          <w:szCs w:val="22"/>
        </w:rPr>
        <w:t xml:space="preserve"> water use license conditions. The non compliance varies and is assessed according to the impact posed to the water resources and the environment</w:t>
      </w:r>
      <w:r w:rsidR="006F1743">
        <w:rPr>
          <w:rFonts w:ascii="Arial" w:hAnsi="Arial" w:cs="Arial"/>
          <w:sz w:val="22"/>
          <w:szCs w:val="22"/>
        </w:rPr>
        <w:t xml:space="preserve"> in relation to specific condition</w:t>
      </w:r>
      <w:r w:rsidR="00D5796D">
        <w:rPr>
          <w:rFonts w:ascii="Arial" w:hAnsi="Arial" w:cs="Arial"/>
          <w:sz w:val="22"/>
          <w:szCs w:val="22"/>
        </w:rPr>
        <w:t>s</w:t>
      </w:r>
      <w:r w:rsidR="00992D00">
        <w:rPr>
          <w:rFonts w:ascii="Arial" w:hAnsi="Arial" w:cs="Arial"/>
          <w:sz w:val="22"/>
          <w:szCs w:val="22"/>
        </w:rPr>
        <w:t xml:space="preserve">. </w:t>
      </w:r>
      <w:r w:rsidR="003861DF">
        <w:rPr>
          <w:rFonts w:ascii="Arial" w:hAnsi="Arial" w:cs="Arial"/>
          <w:sz w:val="22"/>
          <w:szCs w:val="22"/>
        </w:rPr>
        <w:t>Non-compliance depending on the impact or threat posed may either be addressed through an action plan, administrative, civil or criminal enforcement.</w:t>
      </w:r>
      <w:r w:rsidR="00992D00">
        <w:rPr>
          <w:rFonts w:ascii="Arial" w:hAnsi="Arial" w:cs="Arial"/>
          <w:sz w:val="22"/>
          <w:szCs w:val="22"/>
        </w:rPr>
        <w:t xml:space="preserve"> Out </w:t>
      </w:r>
      <w:r w:rsidR="004029DE">
        <w:rPr>
          <w:rFonts w:ascii="Arial" w:hAnsi="Arial" w:cs="Arial"/>
          <w:sz w:val="22"/>
          <w:szCs w:val="22"/>
        </w:rPr>
        <w:t xml:space="preserve">of </w:t>
      </w:r>
      <w:r w:rsidR="00E91708" w:rsidRPr="00E91708">
        <w:rPr>
          <w:rFonts w:ascii="Arial" w:hAnsi="Arial" w:cs="Arial"/>
          <w:b/>
          <w:sz w:val="22"/>
          <w:szCs w:val="22"/>
        </w:rPr>
        <w:t>111</w:t>
      </w:r>
      <w:r w:rsidR="00E91708">
        <w:rPr>
          <w:rFonts w:ascii="Arial" w:hAnsi="Arial" w:cs="Arial"/>
          <w:b/>
          <w:sz w:val="22"/>
          <w:szCs w:val="22"/>
        </w:rPr>
        <w:t xml:space="preserve"> </w:t>
      </w:r>
      <w:r w:rsidR="00992D00">
        <w:rPr>
          <w:rFonts w:ascii="Arial" w:hAnsi="Arial" w:cs="Arial"/>
          <w:sz w:val="22"/>
          <w:szCs w:val="22"/>
        </w:rPr>
        <w:t xml:space="preserve">mines that were monitored in </w:t>
      </w:r>
      <w:r w:rsidR="00CB02FC">
        <w:rPr>
          <w:rFonts w:ascii="Arial" w:hAnsi="Arial" w:cs="Arial"/>
          <w:sz w:val="22"/>
          <w:szCs w:val="22"/>
        </w:rPr>
        <w:t xml:space="preserve">the </w:t>
      </w:r>
      <w:r w:rsidR="00992D00">
        <w:rPr>
          <w:rFonts w:ascii="Arial" w:hAnsi="Arial" w:cs="Arial"/>
          <w:sz w:val="22"/>
          <w:szCs w:val="22"/>
        </w:rPr>
        <w:t>201</w:t>
      </w:r>
      <w:r w:rsidR="004029DE">
        <w:rPr>
          <w:rFonts w:ascii="Arial" w:hAnsi="Arial" w:cs="Arial"/>
          <w:sz w:val="22"/>
          <w:szCs w:val="22"/>
        </w:rPr>
        <w:t>6</w:t>
      </w:r>
      <w:r w:rsidR="00992D00">
        <w:rPr>
          <w:rFonts w:ascii="Arial" w:hAnsi="Arial" w:cs="Arial"/>
          <w:sz w:val="22"/>
          <w:szCs w:val="22"/>
        </w:rPr>
        <w:t>/201</w:t>
      </w:r>
      <w:r w:rsidR="004029DE">
        <w:rPr>
          <w:rFonts w:ascii="Arial" w:hAnsi="Arial" w:cs="Arial"/>
          <w:sz w:val="22"/>
          <w:szCs w:val="22"/>
        </w:rPr>
        <w:t xml:space="preserve">7 financial year, </w:t>
      </w:r>
      <w:r w:rsidR="007E74AC" w:rsidRPr="007E74AC">
        <w:rPr>
          <w:rFonts w:ascii="Arial" w:hAnsi="Arial" w:cs="Arial"/>
          <w:b/>
          <w:sz w:val="22"/>
          <w:szCs w:val="22"/>
        </w:rPr>
        <w:t>55</w:t>
      </w:r>
      <w:r w:rsidR="00E91708" w:rsidRPr="00E91708">
        <w:rPr>
          <w:rFonts w:ascii="Arial" w:hAnsi="Arial" w:cs="Arial"/>
          <w:b/>
          <w:sz w:val="22"/>
          <w:szCs w:val="22"/>
        </w:rPr>
        <w:t xml:space="preserve"> </w:t>
      </w:r>
      <w:r w:rsidR="00992D00">
        <w:rPr>
          <w:rFonts w:ascii="Arial" w:hAnsi="Arial" w:cs="Arial"/>
          <w:sz w:val="22"/>
          <w:szCs w:val="22"/>
        </w:rPr>
        <w:t xml:space="preserve">mines were found to be significantly not complying with the conditions of the water use </w:t>
      </w:r>
      <w:r w:rsidR="007E74AC">
        <w:rPr>
          <w:rFonts w:ascii="Arial" w:hAnsi="Arial" w:cs="Arial"/>
          <w:sz w:val="22"/>
          <w:szCs w:val="22"/>
        </w:rPr>
        <w:t>license</w:t>
      </w:r>
      <w:r w:rsidR="00D5796D">
        <w:rPr>
          <w:rFonts w:ascii="Arial" w:hAnsi="Arial" w:cs="Arial"/>
          <w:sz w:val="22"/>
          <w:szCs w:val="22"/>
        </w:rPr>
        <w:t xml:space="preserve"> of which </w:t>
      </w:r>
      <w:r w:rsidR="00D5796D">
        <w:rPr>
          <w:rFonts w:ascii="Arial" w:hAnsi="Arial" w:cs="Arial"/>
          <w:b/>
          <w:sz w:val="22"/>
          <w:szCs w:val="22"/>
        </w:rPr>
        <w:t>25</w:t>
      </w:r>
      <w:r w:rsidR="00D5796D">
        <w:rPr>
          <w:rFonts w:ascii="Arial" w:hAnsi="Arial" w:cs="Arial"/>
          <w:sz w:val="22"/>
          <w:szCs w:val="22"/>
        </w:rPr>
        <w:t xml:space="preserve"> mines were referred for enforcement actions</w:t>
      </w:r>
      <w:r w:rsidR="003810AD">
        <w:rPr>
          <w:rFonts w:ascii="Arial" w:hAnsi="Arial" w:cs="Arial"/>
          <w:sz w:val="22"/>
          <w:szCs w:val="22"/>
        </w:rPr>
        <w:t xml:space="preserve"> (refer to </w:t>
      </w:r>
      <w:r w:rsidR="003810AD">
        <w:rPr>
          <w:rFonts w:ascii="Arial" w:hAnsi="Arial" w:cs="Arial"/>
          <w:b/>
          <w:sz w:val="22"/>
          <w:szCs w:val="22"/>
        </w:rPr>
        <w:t>Annexure A</w:t>
      </w:r>
      <w:r w:rsidR="003810AD">
        <w:rPr>
          <w:rFonts w:ascii="Arial" w:hAnsi="Arial" w:cs="Arial"/>
          <w:sz w:val="22"/>
          <w:szCs w:val="22"/>
        </w:rPr>
        <w:t>)</w:t>
      </w:r>
      <w:r w:rsidR="003861DF">
        <w:rPr>
          <w:rFonts w:ascii="Arial" w:hAnsi="Arial" w:cs="Arial"/>
          <w:sz w:val="22"/>
          <w:szCs w:val="22"/>
        </w:rPr>
        <w:t xml:space="preserve">. The other </w:t>
      </w:r>
      <w:r w:rsidR="003861DF">
        <w:rPr>
          <w:rFonts w:ascii="Arial" w:hAnsi="Arial" w:cs="Arial"/>
          <w:b/>
          <w:sz w:val="22"/>
          <w:szCs w:val="22"/>
        </w:rPr>
        <w:t>30</w:t>
      </w:r>
      <w:r w:rsidR="003861DF">
        <w:rPr>
          <w:rFonts w:ascii="Arial" w:hAnsi="Arial" w:cs="Arial"/>
          <w:sz w:val="22"/>
          <w:szCs w:val="22"/>
        </w:rPr>
        <w:t xml:space="preserve"> mines were requested to provide action plans to address non-compliance.</w:t>
      </w:r>
    </w:p>
    <w:p w:rsidR="0082482B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847B9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236BC6">
        <w:rPr>
          <w:rFonts w:ascii="Arial" w:hAnsi="Arial" w:cs="Arial"/>
          <w:sz w:val="22"/>
          <w:szCs w:val="22"/>
        </w:rPr>
        <w:t xml:space="preserve"> </w:t>
      </w:r>
      <w:r w:rsidR="006F1743">
        <w:rPr>
          <w:rFonts w:ascii="Arial" w:hAnsi="Arial" w:cs="Arial"/>
          <w:sz w:val="22"/>
          <w:szCs w:val="22"/>
        </w:rPr>
        <w:tab/>
        <w:t>F</w:t>
      </w:r>
      <w:r w:rsidR="00236BC6">
        <w:rPr>
          <w:rFonts w:ascii="Arial" w:hAnsi="Arial" w:cs="Arial"/>
          <w:sz w:val="22"/>
          <w:szCs w:val="22"/>
        </w:rPr>
        <w:t xml:space="preserve">or </w:t>
      </w:r>
      <w:r w:rsidR="00CB02FC">
        <w:rPr>
          <w:rFonts w:ascii="Arial" w:hAnsi="Arial" w:cs="Arial"/>
          <w:sz w:val="22"/>
          <w:szCs w:val="22"/>
        </w:rPr>
        <w:t xml:space="preserve">the </w:t>
      </w:r>
      <w:r w:rsidR="00236BC6">
        <w:rPr>
          <w:rFonts w:ascii="Arial" w:hAnsi="Arial" w:cs="Arial"/>
          <w:sz w:val="22"/>
          <w:szCs w:val="22"/>
        </w:rPr>
        <w:t>2017</w:t>
      </w:r>
      <w:r w:rsidR="004029DE">
        <w:rPr>
          <w:rFonts w:ascii="Arial" w:hAnsi="Arial" w:cs="Arial"/>
          <w:sz w:val="22"/>
          <w:szCs w:val="22"/>
        </w:rPr>
        <w:t>/18</w:t>
      </w:r>
      <w:r w:rsidR="00236BC6">
        <w:rPr>
          <w:rFonts w:ascii="Arial" w:hAnsi="Arial" w:cs="Arial"/>
          <w:sz w:val="22"/>
          <w:szCs w:val="22"/>
        </w:rPr>
        <w:t>,</w:t>
      </w:r>
      <w:r w:rsidR="007E74AC">
        <w:rPr>
          <w:rFonts w:ascii="Arial" w:hAnsi="Arial" w:cs="Arial"/>
          <w:sz w:val="22"/>
          <w:szCs w:val="22"/>
        </w:rPr>
        <w:t xml:space="preserve"> </w:t>
      </w:r>
      <w:r w:rsidR="003861DF">
        <w:rPr>
          <w:rFonts w:ascii="Arial" w:hAnsi="Arial" w:cs="Arial"/>
          <w:sz w:val="22"/>
          <w:szCs w:val="22"/>
        </w:rPr>
        <w:t>(</w:t>
      </w:r>
      <w:r w:rsidR="007E74AC">
        <w:rPr>
          <w:rFonts w:ascii="Arial" w:hAnsi="Arial" w:cs="Arial"/>
          <w:sz w:val="22"/>
          <w:szCs w:val="22"/>
        </w:rPr>
        <w:t>April to J</w:t>
      </w:r>
      <w:r w:rsidR="004029DE">
        <w:rPr>
          <w:rFonts w:ascii="Arial" w:hAnsi="Arial" w:cs="Arial"/>
          <w:sz w:val="22"/>
          <w:szCs w:val="22"/>
        </w:rPr>
        <w:t xml:space="preserve">une) </w:t>
      </w:r>
      <w:r w:rsidR="00E91708" w:rsidRPr="00E91708">
        <w:rPr>
          <w:rFonts w:ascii="Arial" w:hAnsi="Arial" w:cs="Arial"/>
          <w:b/>
          <w:sz w:val="22"/>
          <w:szCs w:val="22"/>
        </w:rPr>
        <w:t xml:space="preserve">22 </w:t>
      </w:r>
      <w:r w:rsidR="004029DE">
        <w:rPr>
          <w:rFonts w:ascii="Arial" w:hAnsi="Arial" w:cs="Arial"/>
          <w:sz w:val="22"/>
          <w:szCs w:val="22"/>
        </w:rPr>
        <w:t xml:space="preserve">mines were </w:t>
      </w:r>
      <w:r w:rsidR="003861DF">
        <w:rPr>
          <w:rFonts w:ascii="Arial" w:hAnsi="Arial" w:cs="Arial"/>
          <w:sz w:val="22"/>
          <w:szCs w:val="22"/>
        </w:rPr>
        <w:t>monitored with</w:t>
      </w:r>
      <w:r w:rsidR="006F1743">
        <w:rPr>
          <w:rFonts w:ascii="Arial" w:hAnsi="Arial" w:cs="Arial"/>
          <w:sz w:val="22"/>
          <w:szCs w:val="22"/>
        </w:rPr>
        <w:t xml:space="preserve"> </w:t>
      </w:r>
      <w:r w:rsidR="007E74AC" w:rsidRPr="007E74AC">
        <w:rPr>
          <w:rFonts w:ascii="Arial" w:hAnsi="Arial" w:cs="Arial"/>
          <w:b/>
          <w:sz w:val="22"/>
          <w:szCs w:val="22"/>
        </w:rPr>
        <w:t>15</w:t>
      </w:r>
      <w:r w:rsidR="006F1743">
        <w:rPr>
          <w:rFonts w:ascii="Arial" w:hAnsi="Arial" w:cs="Arial"/>
          <w:sz w:val="22"/>
          <w:szCs w:val="22"/>
        </w:rPr>
        <w:t xml:space="preserve"> </w:t>
      </w:r>
      <w:r w:rsidR="003810AD">
        <w:rPr>
          <w:rFonts w:ascii="Arial" w:hAnsi="Arial" w:cs="Arial"/>
          <w:sz w:val="22"/>
          <w:szCs w:val="22"/>
        </w:rPr>
        <w:t xml:space="preserve">mines </w:t>
      </w:r>
      <w:r w:rsidR="006F1743">
        <w:rPr>
          <w:rFonts w:ascii="Arial" w:hAnsi="Arial" w:cs="Arial"/>
          <w:sz w:val="22"/>
          <w:szCs w:val="22"/>
        </w:rPr>
        <w:t>significantly not complying</w:t>
      </w:r>
      <w:r w:rsidR="00D5796D">
        <w:rPr>
          <w:rFonts w:ascii="Arial" w:hAnsi="Arial" w:cs="Arial"/>
          <w:sz w:val="22"/>
          <w:szCs w:val="22"/>
        </w:rPr>
        <w:t xml:space="preserve"> of which </w:t>
      </w:r>
      <w:r w:rsidR="00D5796D">
        <w:rPr>
          <w:rFonts w:ascii="Arial" w:hAnsi="Arial" w:cs="Arial"/>
          <w:b/>
          <w:sz w:val="22"/>
          <w:szCs w:val="22"/>
        </w:rPr>
        <w:t>8</w:t>
      </w:r>
      <w:r w:rsidR="00D5796D">
        <w:rPr>
          <w:rFonts w:ascii="Arial" w:hAnsi="Arial" w:cs="Arial"/>
          <w:sz w:val="22"/>
          <w:szCs w:val="22"/>
        </w:rPr>
        <w:t xml:space="preserve"> required enforcement actions</w:t>
      </w:r>
      <w:r w:rsidR="006F1743">
        <w:rPr>
          <w:rFonts w:ascii="Arial" w:hAnsi="Arial" w:cs="Arial"/>
          <w:sz w:val="22"/>
          <w:szCs w:val="22"/>
        </w:rPr>
        <w:t xml:space="preserve">. </w:t>
      </w:r>
      <w:r w:rsidR="00236BC6">
        <w:rPr>
          <w:rFonts w:ascii="Arial" w:hAnsi="Arial" w:cs="Arial"/>
          <w:sz w:val="22"/>
          <w:szCs w:val="22"/>
        </w:rPr>
        <w:t xml:space="preserve"> </w:t>
      </w:r>
      <w:r w:rsidR="004D1B6B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A5FD3" w:rsidRDefault="003861DF" w:rsidP="009A5FD3">
      <w:pPr>
        <w:tabs>
          <w:tab w:val="left" w:pos="540"/>
          <w:tab w:val="left" w:pos="1080"/>
        </w:tabs>
        <w:jc w:val="right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br w:type="page"/>
      </w:r>
      <w:r w:rsidRPr="009A5FD3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Annexure A</w:t>
      </w:r>
    </w:p>
    <w:tbl>
      <w:tblPr>
        <w:tblW w:w="9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178"/>
        <w:gridCol w:w="2597"/>
        <w:gridCol w:w="1146"/>
        <w:gridCol w:w="1320"/>
        <w:gridCol w:w="2649"/>
      </w:tblGrid>
      <w:tr w:rsidR="003861DF" w:rsidRPr="009A5FD3" w:rsidTr="002B47E3">
        <w:trPr>
          <w:trHeight w:val="429"/>
        </w:trPr>
        <w:tc>
          <w:tcPr>
            <w:tcW w:w="9558" w:type="dxa"/>
            <w:gridSpan w:val="6"/>
            <w:shd w:val="clear" w:color="auto" w:fill="D6E3BC"/>
            <w:noWrap/>
            <w:vAlign w:val="center"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uarter </w:t>
            </w:r>
            <w:r w:rsidRP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(APRIL - JUNE 2016)</w:t>
            </w:r>
          </w:p>
        </w:tc>
      </w:tr>
      <w:tr w:rsidR="003861DF" w:rsidRPr="009A5FD3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5B5A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320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Exxaro Leeupan Coal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Umcebo Middelkraal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Bankfontein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Exxaro Matla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Kangala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Homelands Energy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Palesa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Hoshoza Resources: Karoboo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9A5FD3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Grootegeluk Coal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Mogalakwena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Venetia Diamond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Vele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Tshikondeni Coal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9A5FD3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Ocon Brick Audit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Evander Gold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New Vaal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Lonmin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Northam Platinum Mine: Zondereinde division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Elitheni Coal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EC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Kalagadi Manganese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61DF" w:rsidRPr="009A5FD3" w:rsidTr="002B47E3">
        <w:trPr>
          <w:trHeight w:val="389"/>
        </w:trPr>
        <w:tc>
          <w:tcPr>
            <w:tcW w:w="9558" w:type="dxa"/>
            <w:gridSpan w:val="6"/>
            <w:shd w:val="clear" w:color="auto" w:fill="D6E3BC"/>
            <w:vAlign w:val="center"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uarter </w:t>
            </w:r>
            <w:r w:rsidRP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(JULY - SEPTEMBER 2016)</w:t>
            </w:r>
          </w:p>
        </w:tc>
      </w:tr>
      <w:tr w:rsidR="003861DF" w:rsidRPr="009A5FD3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5B5A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320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3861DF" w:rsidRPr="009A5FD3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9A5FD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Anglo Coal: Kromdraai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Anglo Coal: Navigation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Anglo American: Twickenham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Brackfontein: Tegeta Resources &amp; Exploration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Xstrata: Goedgevonden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Hlagisa Mining Wildfontein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Glencore: Tavistock Coal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ATC Impunzi Complex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ASA Dilokong Chrome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Mtotolo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9A5FD3" w:rsidTr="009A5FD3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9A5FD3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Elandsfontein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9A5FD3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FD3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</w:tbl>
    <w:p w:rsidR="00E75CC7" w:rsidRDefault="00E75CC7"/>
    <w:tbl>
      <w:tblPr>
        <w:tblW w:w="9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178"/>
        <w:gridCol w:w="2585"/>
        <w:gridCol w:w="1146"/>
        <w:gridCol w:w="96"/>
        <w:gridCol w:w="1224"/>
        <w:gridCol w:w="2649"/>
      </w:tblGrid>
      <w:tr w:rsidR="008F19EF" w:rsidRPr="00222945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8F19EF" w:rsidRPr="00222945" w:rsidRDefault="005B5A82" w:rsidP="00CB47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r w:rsidR="008F19EF"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320" w:type="dxa"/>
            <w:gridSpan w:val="2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Ezulwini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City Deep Gold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Penumbra Coal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New Kleinfontein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Rand Uranium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New Denmark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Tronox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WC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Tronox MSP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WC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Grootegeluk Coal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Vele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Tshikondeni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Venetia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Mogalakwena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Beestekraal Mine - Portland Cement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Sibanye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Pilanesberg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Hotazel Manganese Mine: Hotazel site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Hotazel Manganese Mine: Wessels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Hotazel Manganese Mine: Middleplaats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Hotazel Manganese Mine: Mamatwane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61DF" w:rsidRPr="00222945" w:rsidTr="002B47E3">
        <w:trPr>
          <w:trHeight w:val="362"/>
        </w:trPr>
        <w:tc>
          <w:tcPr>
            <w:tcW w:w="9558" w:type="dxa"/>
            <w:gridSpan w:val="7"/>
            <w:shd w:val="clear" w:color="auto" w:fill="D6E3BC"/>
            <w:noWrap/>
            <w:vAlign w:val="center"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222945"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uarter </w:t>
            </w:r>
            <w:r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(October - December 2016)</w:t>
            </w:r>
          </w:p>
        </w:tc>
      </w:tr>
      <w:tr w:rsidR="003861DF" w:rsidRPr="00222945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3861DF" w:rsidRPr="00222945" w:rsidRDefault="005B5A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r w:rsidR="003861DF"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30" w:type="dxa"/>
            <w:gridSpan w:val="2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224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Marula Platinum Mine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Mpuyelo Group: Rhirhanzo Colliery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Sudor Coal: Halgewonnen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Glencoe Optinum: Kwagga Section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Stuart Coal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Umzobanzi Coal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RANGE!D73"/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 xml:space="preserve">Shanduka Graspan Colliery </w:t>
            </w:r>
            <w:bookmarkEnd w:id="0"/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 xml:space="preserve">Anglo Inyosi  Kriel Colliery 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Woestalleen Mine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Koffiefontein Mine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6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Matsopa Mineral KoppiesnBentonite Mine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 authorisation. This mine has to be taken out of the report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Crown Mine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</w:tbl>
    <w:p w:rsidR="00E75CC7" w:rsidRDefault="00E75CC7"/>
    <w:tbl>
      <w:tblPr>
        <w:tblW w:w="9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178"/>
        <w:gridCol w:w="2585"/>
        <w:gridCol w:w="1146"/>
        <w:gridCol w:w="96"/>
        <w:gridCol w:w="1224"/>
        <w:gridCol w:w="2649"/>
      </w:tblGrid>
      <w:tr w:rsidR="008F19EF" w:rsidRPr="00222945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5B5A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320" w:type="dxa"/>
            <w:gridSpan w:val="2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Ergo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Vunene: Usutu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6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International Ferro Metals and TC Smelter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reporting under Mining move to Industry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728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Ferro chrome boshoek smelter and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Horizon Chrome mine (previously Merafe Ferrochrome)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Schmidtsdrift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Assmang: Black Rock (Lometag)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Hautian Manganese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Rooipoort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 xml:space="preserve">Brandywine Valley Investments: Uitkomst Colliery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 xml:space="preserve">Brandywine Valley Investments: Wykom Siding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Hlobane: Tshoba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Hlobane: Nkongolwane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>Tshikondeni Colliery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 xml:space="preserve">Venetia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 xml:space="preserve">Grootegeluk Coal Mine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 xml:space="preserve">Mogalakwena Platinum Mine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A728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945">
              <w:rPr>
                <w:rFonts w:ascii="Arial" w:hAnsi="Arial" w:cs="Arial"/>
                <w:color w:val="000000"/>
                <w:sz w:val="20"/>
                <w:szCs w:val="20"/>
              </w:rPr>
              <w:t xml:space="preserve">Vele Colliery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61DF" w:rsidRPr="00222945" w:rsidTr="002B47E3">
        <w:trPr>
          <w:trHeight w:val="390"/>
        </w:trPr>
        <w:tc>
          <w:tcPr>
            <w:tcW w:w="9558" w:type="dxa"/>
            <w:gridSpan w:val="7"/>
            <w:shd w:val="clear" w:color="auto" w:fill="D6E3BC"/>
            <w:noWrap/>
            <w:vAlign w:val="center"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222945"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uarter </w:t>
            </w:r>
            <w:r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(January - March 2017)</w:t>
            </w:r>
          </w:p>
        </w:tc>
      </w:tr>
      <w:tr w:rsidR="003861DF" w:rsidRPr="00222945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5B5A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30" w:type="dxa"/>
            <w:gridSpan w:val="2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224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BECSA: Khutala Colliery (South 32)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 xml:space="preserve">Anglo Thermal Coal: Kleinkopje Colliery 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Clencore: Tweefontein Complex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Wescoal: Intibane Colliery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Anglo Coal: Mafube Colliery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BECSA: MMS Klipfontein Section (South 32)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African Exploration: Vlakfontein Colliery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Anglo Gold Ashanti: Mponeng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Mission Point Trading 41 (Pty) Ltd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Mashala Resource: Fereira Mine</w:t>
            </w:r>
          </w:p>
        </w:tc>
        <w:tc>
          <w:tcPr>
            <w:tcW w:w="1230" w:type="dxa"/>
            <w:gridSpan w:val="2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</w:tbl>
    <w:p w:rsidR="00E75CC7" w:rsidRDefault="00E75CC7"/>
    <w:tbl>
      <w:tblPr>
        <w:tblW w:w="95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178"/>
        <w:gridCol w:w="2597"/>
        <w:gridCol w:w="1146"/>
        <w:gridCol w:w="1320"/>
        <w:gridCol w:w="2649"/>
      </w:tblGrid>
      <w:tr w:rsidR="008F19EF" w:rsidRPr="00222945" w:rsidTr="002B47E3">
        <w:trPr>
          <w:trHeight w:val="600"/>
        </w:trPr>
        <w:tc>
          <w:tcPr>
            <w:tcW w:w="680" w:type="dxa"/>
            <w:shd w:val="clear" w:color="auto" w:fill="D6E3BC"/>
            <w:vAlign w:val="center"/>
            <w:hideMark/>
          </w:tcPr>
          <w:p w:rsidR="008F19EF" w:rsidRPr="00222945" w:rsidRDefault="005B5A82" w:rsidP="00CB47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r w:rsidR="008F19EF" w:rsidRPr="00222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Water Sector</w:t>
            </w:r>
          </w:p>
        </w:tc>
        <w:tc>
          <w:tcPr>
            <w:tcW w:w="2597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320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PoE received</w:t>
            </w:r>
          </w:p>
        </w:tc>
        <w:tc>
          <w:tcPr>
            <w:tcW w:w="2649" w:type="dxa"/>
            <w:shd w:val="clear" w:color="auto" w:fill="D6E3BC"/>
            <w:vAlign w:val="center"/>
            <w:hideMark/>
          </w:tcPr>
          <w:p w:rsidR="008F19EF" w:rsidRPr="00222945" w:rsidRDefault="008F19EF" w:rsidP="00CB47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t>Finding/</w:t>
            </w:r>
            <w:r w:rsidRPr="0022294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Motivation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South Gold Exploration (Sebanye Burnstone Mine)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Harmony gold mine - Kusasalethu &amp; Deelkraal Operation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Xstrata Alloys Eland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Maseve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Lonmin Platinum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NW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Mr M Mdlulane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MN Mbonose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Sishen Iron Ore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Scarlet Sun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De Beer Micro Diamonds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Mr OA Witkoei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HE Louw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Mrs FE Mali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BM Marman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sz w:val="22"/>
                <w:szCs w:val="22"/>
              </w:rPr>
            </w:pPr>
            <w:r w:rsidRPr="00222945">
              <w:rPr>
                <w:rFonts w:ascii="Arial" w:hAnsi="Arial" w:cs="Arial"/>
                <w:sz w:val="22"/>
                <w:szCs w:val="22"/>
              </w:rPr>
              <w:t>Acceptable 75-100%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Crown Resources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NC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 xml:space="preserve">Vele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Venetia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Grootegeluk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25-49%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Tshikondeni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Good but at risk 50-74%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Mogalakwena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Mining</w:t>
            </w:r>
          </w:p>
        </w:tc>
        <w:tc>
          <w:tcPr>
            <w:tcW w:w="2597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Somkhele Tendele Mine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49" w:type="dxa"/>
            <w:shd w:val="clear" w:color="auto" w:fill="auto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color w:val="000000"/>
                <w:sz w:val="22"/>
                <w:szCs w:val="22"/>
              </w:rPr>
              <w:t>Not acceptable  0-24%</w:t>
            </w:r>
          </w:p>
        </w:tc>
      </w:tr>
      <w:tr w:rsidR="003861DF" w:rsidRPr="00222945" w:rsidTr="00222945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61DF" w:rsidRPr="00222945" w:rsidTr="002B47E3">
        <w:trPr>
          <w:trHeight w:val="300"/>
        </w:trPr>
        <w:tc>
          <w:tcPr>
            <w:tcW w:w="680" w:type="dxa"/>
            <w:shd w:val="clear" w:color="auto" w:fill="D6E3BC"/>
            <w:noWrap/>
            <w:vAlign w:val="bottom"/>
            <w:hideMark/>
          </w:tcPr>
          <w:p w:rsidR="003861DF" w:rsidRPr="00222945" w:rsidRDefault="003861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6E3BC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2945">
              <w:rPr>
                <w:rFonts w:ascii="Arial" w:hAnsi="Arial" w:cs="Arial"/>
                <w:b/>
                <w:color w:val="000000"/>
                <w:sz w:val="22"/>
                <w:szCs w:val="22"/>
              </w:rPr>
              <w:t>Overall 52% out of 111</w:t>
            </w:r>
          </w:p>
        </w:tc>
        <w:tc>
          <w:tcPr>
            <w:tcW w:w="1134" w:type="dxa"/>
            <w:shd w:val="clear" w:color="auto" w:fill="D6E3BC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6E3BC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D6E3BC"/>
            <w:noWrap/>
            <w:vAlign w:val="bottom"/>
            <w:hideMark/>
          </w:tcPr>
          <w:p w:rsidR="003861DF" w:rsidRPr="00222945" w:rsidRDefault="003861D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861DF" w:rsidRPr="0095517A" w:rsidRDefault="003861DF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3861DF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D6" w:rsidRDefault="004F7DD6">
      <w:r>
        <w:separator/>
      </w:r>
    </w:p>
  </w:endnote>
  <w:endnote w:type="continuationSeparator" w:id="0">
    <w:p w:rsidR="004F7DD6" w:rsidRDefault="004F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DF" w:rsidRPr="002B3F42" w:rsidRDefault="003861D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2600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NW2905E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DF" w:rsidRDefault="003861DF">
    <w:pPr>
      <w:pStyle w:val="Footer"/>
      <w:rPr>
        <w:rFonts w:ascii="Arial" w:hAnsi="Arial" w:cs="Arial"/>
        <w:sz w:val="16"/>
        <w:szCs w:val="16"/>
      </w:rPr>
    </w:pPr>
  </w:p>
  <w:p w:rsidR="003861DF" w:rsidRPr="002B3F42" w:rsidRDefault="003861D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2600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NW2905E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D6" w:rsidRDefault="004F7DD6">
      <w:r>
        <w:separator/>
      </w:r>
    </w:p>
  </w:footnote>
  <w:footnote w:type="continuationSeparator" w:id="0">
    <w:p w:rsidR="004F7DD6" w:rsidRDefault="004F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DF" w:rsidRDefault="003861D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1DF" w:rsidRDefault="0038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19C5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5F2B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61514"/>
    <w:rsid w:val="0016212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2945"/>
    <w:rsid w:val="002238F0"/>
    <w:rsid w:val="002326D5"/>
    <w:rsid w:val="00236BC6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47E3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10AD"/>
    <w:rsid w:val="00382A7A"/>
    <w:rsid w:val="003856A3"/>
    <w:rsid w:val="003861DF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30C2"/>
    <w:rsid w:val="003F41FD"/>
    <w:rsid w:val="004028C5"/>
    <w:rsid w:val="004029B9"/>
    <w:rsid w:val="004029DE"/>
    <w:rsid w:val="00403AFE"/>
    <w:rsid w:val="00410915"/>
    <w:rsid w:val="004148A5"/>
    <w:rsid w:val="004177F6"/>
    <w:rsid w:val="00423103"/>
    <w:rsid w:val="00426F84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4E35"/>
    <w:rsid w:val="00485CC3"/>
    <w:rsid w:val="004A02D1"/>
    <w:rsid w:val="004A63AB"/>
    <w:rsid w:val="004B1A3E"/>
    <w:rsid w:val="004B1BAE"/>
    <w:rsid w:val="004B1CD7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4F7DD6"/>
    <w:rsid w:val="00500382"/>
    <w:rsid w:val="0050067B"/>
    <w:rsid w:val="005067B3"/>
    <w:rsid w:val="00511A8D"/>
    <w:rsid w:val="0051341E"/>
    <w:rsid w:val="00514833"/>
    <w:rsid w:val="005203BC"/>
    <w:rsid w:val="005215E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5A82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2992"/>
    <w:rsid w:val="00663055"/>
    <w:rsid w:val="00663CE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1743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6ED"/>
    <w:rsid w:val="007E69E6"/>
    <w:rsid w:val="007E74AC"/>
    <w:rsid w:val="007F17EC"/>
    <w:rsid w:val="007F26AE"/>
    <w:rsid w:val="007F67B5"/>
    <w:rsid w:val="007F79EF"/>
    <w:rsid w:val="00800EB6"/>
    <w:rsid w:val="00802EDE"/>
    <w:rsid w:val="0080532A"/>
    <w:rsid w:val="0080584E"/>
    <w:rsid w:val="00806C1B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19EF"/>
    <w:rsid w:val="008F1DAD"/>
    <w:rsid w:val="008F4DF9"/>
    <w:rsid w:val="00900786"/>
    <w:rsid w:val="009015D9"/>
    <w:rsid w:val="00903072"/>
    <w:rsid w:val="00904CC4"/>
    <w:rsid w:val="00910CD6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2D00"/>
    <w:rsid w:val="00995F3C"/>
    <w:rsid w:val="009A5459"/>
    <w:rsid w:val="009A5FD3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492"/>
    <w:rsid w:val="00A34652"/>
    <w:rsid w:val="00A4641B"/>
    <w:rsid w:val="00A46750"/>
    <w:rsid w:val="00A479C6"/>
    <w:rsid w:val="00A51C87"/>
    <w:rsid w:val="00A55BCF"/>
    <w:rsid w:val="00A6020A"/>
    <w:rsid w:val="00A62452"/>
    <w:rsid w:val="00A6340A"/>
    <w:rsid w:val="00A63AD5"/>
    <w:rsid w:val="00A70AC8"/>
    <w:rsid w:val="00A728BE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80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B02FC"/>
    <w:rsid w:val="00CB4792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5796D"/>
    <w:rsid w:val="00D668C8"/>
    <w:rsid w:val="00D66ABE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672D7"/>
    <w:rsid w:val="00E7061A"/>
    <w:rsid w:val="00E7098E"/>
    <w:rsid w:val="00E74463"/>
    <w:rsid w:val="00E74AD6"/>
    <w:rsid w:val="00E75CC7"/>
    <w:rsid w:val="00E81B07"/>
    <w:rsid w:val="00E85E47"/>
    <w:rsid w:val="00E863F2"/>
    <w:rsid w:val="00E86651"/>
    <w:rsid w:val="00E91708"/>
    <w:rsid w:val="00E9270B"/>
    <w:rsid w:val="00E93912"/>
    <w:rsid w:val="00E93993"/>
    <w:rsid w:val="00EA3E2B"/>
    <w:rsid w:val="00EA56ED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2017-09-04T10:23:00Z</cp:lastPrinted>
  <dcterms:created xsi:type="dcterms:W3CDTF">2017-10-02T09:54:00Z</dcterms:created>
  <dcterms:modified xsi:type="dcterms:W3CDTF">2017-10-02T09:54:00Z</dcterms:modified>
</cp:coreProperties>
</file>