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2677"/>
        <w:gridCol w:w="623"/>
      </w:tblGrid>
      <w:tr w:rsidR="00423DFF" w:rsidRPr="00ED01AE" w14:paraId="6D24560C" w14:textId="77777777" w:rsidTr="00DC446E">
        <w:trPr>
          <w:trHeight w:val="1474"/>
        </w:trPr>
        <w:tc>
          <w:tcPr>
            <w:tcW w:w="4821" w:type="dxa"/>
            <w:hideMark/>
          </w:tcPr>
          <w:p w14:paraId="2D844D63" w14:textId="77777777" w:rsidR="00423DFF" w:rsidRPr="00ED01AE" w:rsidRDefault="00423DFF" w:rsidP="00DC446E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ED01AE">
              <w:rPr>
                <w:rFonts w:ascii="Arial" w:hAnsi="Arial" w:cs="Arial"/>
                <w:noProof/>
              </w:rPr>
              <w:drawing>
                <wp:inline distT="0" distB="0" distL="0" distR="0" wp14:anchorId="4DE129F5" wp14:editId="521389D9">
                  <wp:extent cx="2743200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gridSpan w:val="2"/>
            <w:hideMark/>
          </w:tcPr>
          <w:p w14:paraId="4799AA3A" w14:textId="77777777" w:rsidR="00423DFF" w:rsidRPr="00ED01AE" w:rsidRDefault="00423DFF" w:rsidP="00DC446E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Arial"/>
              </w:rPr>
            </w:pPr>
            <w:r w:rsidRPr="00ED01AE">
              <w:rPr>
                <w:rFonts w:ascii="Arial" w:hAnsi="Arial" w:cs="Arial"/>
                <w:noProof/>
              </w:rPr>
              <w:drawing>
                <wp:inline distT="0" distB="0" distL="0" distR="0" wp14:anchorId="529C2E9C" wp14:editId="4CB4FC46">
                  <wp:extent cx="1295400" cy="914400"/>
                  <wp:effectExtent l="0" t="0" r="0" b="0"/>
                  <wp:docPr id="4" name="Picture 4" descr="Vision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on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FF" w:rsidRPr="00ED01AE" w14:paraId="50826B7A" w14:textId="77777777" w:rsidTr="00DC446E">
        <w:trPr>
          <w:trHeight w:val="80"/>
        </w:trPr>
        <w:tc>
          <w:tcPr>
            <w:tcW w:w="9026" w:type="dxa"/>
            <w:gridSpan w:val="3"/>
          </w:tcPr>
          <w:p w14:paraId="2606088A" w14:textId="77777777" w:rsidR="00423DFF" w:rsidRPr="00ED01AE" w:rsidRDefault="00423DFF" w:rsidP="00DC446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DFF" w:rsidRPr="00ED01AE" w14:paraId="0C9ECC24" w14:textId="77777777" w:rsidTr="00DC446E">
        <w:trPr>
          <w:gridAfter w:val="1"/>
          <w:wAfter w:w="1526" w:type="dxa"/>
          <w:trHeight w:val="389"/>
        </w:trPr>
        <w:tc>
          <w:tcPr>
            <w:tcW w:w="7500" w:type="dxa"/>
            <w:gridSpan w:val="2"/>
            <w:hideMark/>
          </w:tcPr>
          <w:p w14:paraId="3661FCE4" w14:textId="77777777" w:rsidR="00423DFF" w:rsidRPr="00ED01AE" w:rsidRDefault="00423DFF" w:rsidP="00DC446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01AE">
              <w:rPr>
                <w:rFonts w:ascii="Arial" w:hAnsi="Arial" w:cs="Arial"/>
                <w:sz w:val="16"/>
                <w:szCs w:val="16"/>
              </w:rPr>
              <w:t>Private Bag X944, PRETORIA, 0001. Union Buildings East Wing, Government Avenue, PRETORIA</w:t>
            </w:r>
          </w:p>
          <w:p w14:paraId="682F7AF0" w14:textId="77777777" w:rsidR="00423DFF" w:rsidRDefault="00423DFF" w:rsidP="00DC446E">
            <w:pPr>
              <w:tabs>
                <w:tab w:val="center" w:pos="4513"/>
                <w:tab w:val="right" w:pos="9026"/>
              </w:tabs>
              <w:jc w:val="both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ED01AE">
              <w:rPr>
                <w:rFonts w:ascii="Arial" w:hAnsi="Arial" w:cs="Arial"/>
                <w:sz w:val="16"/>
                <w:szCs w:val="16"/>
              </w:rPr>
              <w:t xml:space="preserve">Tel: 012 312 0307.  </w:t>
            </w:r>
            <w:hyperlink r:id="rId7" w:history="1">
              <w:r w:rsidRPr="008B1A79">
                <w:rPr>
                  <w:rStyle w:val="Hyperlink"/>
                  <w:rFonts w:ascii="Arial" w:hAnsi="Arial" w:cs="Arial"/>
                  <w:sz w:val="16"/>
                  <w:szCs w:val="16"/>
                </w:rPr>
                <w:t>www.dpme.gov.za</w:t>
              </w:r>
            </w:hyperlink>
          </w:p>
          <w:p w14:paraId="008C274D" w14:textId="77777777" w:rsidR="00423DFF" w:rsidRDefault="00423DFF" w:rsidP="00DC446E">
            <w:pPr>
              <w:tabs>
                <w:tab w:val="center" w:pos="4513"/>
                <w:tab w:val="right" w:pos="9026"/>
              </w:tabs>
              <w:jc w:val="both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1BCC6DD9" w14:textId="77777777" w:rsidR="00423DFF" w:rsidRPr="00ED01AE" w:rsidRDefault="00423DFF" w:rsidP="00DC446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yperlink"/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</w:t>
            </w:r>
          </w:p>
        </w:tc>
      </w:tr>
    </w:tbl>
    <w:p w14:paraId="430A49CC" w14:textId="77777777" w:rsidR="00530F6A" w:rsidRPr="00990422" w:rsidRDefault="00530F6A" w:rsidP="00530F6A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2596.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0422">
        <w:rPr>
          <w:rFonts w:ascii="Times New Roman" w:hAnsi="Times New Roman" w:cs="Times New Roman"/>
          <w:b/>
          <w:sz w:val="24"/>
          <w:szCs w:val="24"/>
        </w:rPr>
        <w:t>Mr J R B Lorimer (DA) to ask the Minister in The Presidency:</w:t>
      </w:r>
    </w:p>
    <w:p w14:paraId="7CBDE897" w14:textId="77777777" w:rsidR="00530F6A" w:rsidRPr="008A003D" w:rsidRDefault="00530F6A" w:rsidP="00530F6A">
      <w:pPr>
        <w:spacing w:before="100" w:beforeAutospacing="1" w:after="100" w:afterAutospacing="1" w:line="240" w:lineRule="auto"/>
        <w:ind w:left="1440" w:hanging="589"/>
        <w:jc w:val="both"/>
        <w:rPr>
          <w:rFonts w:cs="Times New Roman"/>
          <w:snapToGrid w:val="0"/>
          <w:sz w:val="24"/>
          <w:szCs w:val="24"/>
          <w:lang w:eastAsia="en-ZA"/>
        </w:rPr>
      </w:pPr>
      <w:r w:rsidRPr="00990422">
        <w:rPr>
          <w:rFonts w:ascii="Times New Roman" w:hAnsi="Times New Roman" w:cs="Times New Roman"/>
          <w:snapToGrid w:val="0"/>
          <w:sz w:val="24"/>
          <w:szCs w:val="24"/>
          <w:lang w:eastAsia="en-ZA"/>
        </w:rPr>
        <w:t>(1)</w:t>
      </w:r>
      <w:r w:rsidRPr="00990422">
        <w:rPr>
          <w:rFonts w:ascii="Times New Roman" w:hAnsi="Times New Roman" w:cs="Times New Roman"/>
          <w:snapToGrid w:val="0"/>
          <w:sz w:val="24"/>
          <w:szCs w:val="24"/>
          <w:lang w:eastAsia="en-ZA"/>
        </w:rPr>
        <w:tab/>
        <w:t>(</w:t>
      </w:r>
      <w:r w:rsidRPr="008A003D">
        <w:rPr>
          <w:rFonts w:cs="Times New Roman"/>
          <w:snapToGrid w:val="0"/>
          <w:sz w:val="24"/>
          <w:szCs w:val="24"/>
          <w:lang w:eastAsia="en-ZA"/>
        </w:rPr>
        <w:t xml:space="preserve">a) What were the detailed outcomes of the discussions on Mining Operation </w:t>
      </w:r>
      <w:proofErr w:type="spellStart"/>
      <w:r w:rsidRPr="008A003D">
        <w:rPr>
          <w:rFonts w:cs="Times New Roman"/>
          <w:snapToGrid w:val="0"/>
          <w:sz w:val="24"/>
          <w:szCs w:val="24"/>
          <w:lang w:eastAsia="en-ZA"/>
        </w:rPr>
        <w:t>Phakisa</w:t>
      </w:r>
      <w:proofErr w:type="spellEnd"/>
      <w:r w:rsidRPr="008A003D">
        <w:rPr>
          <w:rFonts w:cs="Times New Roman"/>
          <w:snapToGrid w:val="0"/>
          <w:sz w:val="24"/>
          <w:szCs w:val="24"/>
          <w:lang w:eastAsia="en-ZA"/>
        </w:rPr>
        <w:t xml:space="preserve"> held in 2015, (b) </w:t>
      </w:r>
      <w:r w:rsidRPr="008A003D">
        <w:rPr>
          <w:rFonts w:cs="Times New Roman"/>
          <w:sz w:val="24"/>
          <w:szCs w:val="24"/>
        </w:rPr>
        <w:t>how</w:t>
      </w:r>
      <w:r w:rsidRPr="008A003D">
        <w:rPr>
          <w:rFonts w:cs="Times New Roman"/>
          <w:snapToGrid w:val="0"/>
          <w:sz w:val="24"/>
          <w:szCs w:val="24"/>
          <w:lang w:eastAsia="en-ZA"/>
        </w:rPr>
        <w:t xml:space="preserve"> long did the specified discussions take, (c) where were the discussions held, (d) who attended the discussions and (e) what amount did the hosting of discussions cost;</w:t>
      </w:r>
    </w:p>
    <w:p w14:paraId="1C90EA56" w14:textId="77777777" w:rsidR="00530F6A" w:rsidRPr="008A003D" w:rsidRDefault="00530F6A" w:rsidP="00530F6A">
      <w:pPr>
        <w:spacing w:before="100" w:beforeAutospacing="1" w:after="100" w:afterAutospacing="1" w:line="240" w:lineRule="auto"/>
        <w:ind w:left="1440" w:hanging="589"/>
        <w:jc w:val="both"/>
        <w:rPr>
          <w:rFonts w:cs="Times New Roman"/>
          <w:snapToGrid w:val="0"/>
          <w:sz w:val="24"/>
          <w:szCs w:val="24"/>
        </w:rPr>
      </w:pPr>
      <w:r w:rsidRPr="008A003D">
        <w:rPr>
          <w:rFonts w:cs="Times New Roman"/>
          <w:snapToGrid w:val="0"/>
          <w:sz w:val="24"/>
          <w:szCs w:val="24"/>
        </w:rPr>
        <w:t>(2)</w:t>
      </w:r>
      <w:r w:rsidRPr="008A003D">
        <w:rPr>
          <w:rFonts w:cs="Times New Roman"/>
          <w:snapToGrid w:val="0"/>
          <w:sz w:val="24"/>
          <w:szCs w:val="24"/>
        </w:rPr>
        <w:tab/>
        <w:t>whether the specified outcomes were published in a report; if not, why not; if so, on what date was the specified report published;</w:t>
      </w:r>
    </w:p>
    <w:p w14:paraId="7E7A93EB" w14:textId="77777777" w:rsidR="00530F6A" w:rsidRPr="008A003D" w:rsidRDefault="00530F6A" w:rsidP="00530F6A">
      <w:pPr>
        <w:spacing w:before="100" w:beforeAutospacing="1" w:after="100" w:afterAutospacing="1" w:line="240" w:lineRule="auto"/>
        <w:ind w:left="1440" w:hanging="589"/>
        <w:jc w:val="both"/>
        <w:rPr>
          <w:rFonts w:eastAsia="Calibri" w:cs="Arial"/>
          <w:sz w:val="28"/>
          <w:szCs w:val="28"/>
        </w:rPr>
      </w:pPr>
      <w:r w:rsidRPr="008A003D">
        <w:rPr>
          <w:rFonts w:cs="Times New Roman"/>
          <w:snapToGrid w:val="0"/>
          <w:sz w:val="24"/>
          <w:szCs w:val="24"/>
        </w:rPr>
        <w:t>(3)</w:t>
      </w:r>
      <w:r w:rsidRPr="008A003D">
        <w:rPr>
          <w:rFonts w:cs="Times New Roman"/>
          <w:snapToGrid w:val="0"/>
          <w:sz w:val="24"/>
          <w:szCs w:val="24"/>
        </w:rPr>
        <w:tab/>
      </w:r>
      <w:r w:rsidRPr="008A003D">
        <w:rPr>
          <w:rFonts w:eastAsia="Calibri" w:cs="Arial"/>
          <w:sz w:val="24"/>
          <w:szCs w:val="24"/>
        </w:rPr>
        <w:t>will he furnish Mr J R B Lorimer with a copy of the specified report?</w:t>
      </w:r>
      <w:r w:rsidRPr="008A003D">
        <w:rPr>
          <w:rFonts w:eastAsia="Calibri" w:cs="Arial"/>
          <w:sz w:val="24"/>
          <w:szCs w:val="24"/>
        </w:rPr>
        <w:tab/>
      </w:r>
      <w:r w:rsidRPr="008A003D">
        <w:rPr>
          <w:rFonts w:eastAsia="Calibri" w:cs="Arial"/>
          <w:sz w:val="24"/>
          <w:szCs w:val="24"/>
        </w:rPr>
        <w:tab/>
      </w:r>
      <w:r w:rsidRPr="008A003D">
        <w:rPr>
          <w:rFonts w:eastAsia="Calibri" w:cs="Arial"/>
          <w:sz w:val="24"/>
          <w:szCs w:val="24"/>
        </w:rPr>
        <w:tab/>
      </w:r>
      <w:r w:rsidRPr="008A003D">
        <w:rPr>
          <w:rFonts w:eastAsia="Calibri" w:cs="Arial"/>
          <w:sz w:val="24"/>
          <w:szCs w:val="24"/>
        </w:rPr>
        <w:tab/>
      </w:r>
      <w:r w:rsidRPr="008A003D">
        <w:rPr>
          <w:rFonts w:eastAsia="Calibri" w:cs="Arial"/>
          <w:sz w:val="24"/>
          <w:szCs w:val="24"/>
        </w:rPr>
        <w:tab/>
      </w:r>
      <w:r w:rsidRPr="008A003D">
        <w:rPr>
          <w:rFonts w:eastAsia="Calibri" w:cs="Arial"/>
          <w:sz w:val="24"/>
          <w:szCs w:val="24"/>
        </w:rPr>
        <w:tab/>
      </w:r>
      <w:r w:rsidRPr="008A003D">
        <w:rPr>
          <w:rFonts w:eastAsia="Calibri" w:cs="Arial"/>
          <w:sz w:val="24"/>
          <w:szCs w:val="24"/>
        </w:rPr>
        <w:tab/>
      </w:r>
      <w:r w:rsidRPr="008A003D">
        <w:rPr>
          <w:rFonts w:eastAsia="Calibri" w:cs="Arial"/>
          <w:sz w:val="24"/>
          <w:szCs w:val="24"/>
        </w:rPr>
        <w:tab/>
      </w:r>
      <w:r w:rsidRPr="008A003D">
        <w:rPr>
          <w:rFonts w:eastAsia="Calibri" w:cs="Arial"/>
          <w:sz w:val="24"/>
          <w:szCs w:val="24"/>
        </w:rPr>
        <w:tab/>
      </w:r>
      <w:r w:rsidRPr="008A003D">
        <w:rPr>
          <w:rFonts w:eastAsia="Calibri" w:cs="Arial"/>
          <w:sz w:val="28"/>
          <w:szCs w:val="28"/>
        </w:rPr>
        <w:tab/>
        <w:t>NW3009E</w:t>
      </w:r>
    </w:p>
    <w:p w14:paraId="3F89A4CB" w14:textId="77777777" w:rsidR="00621178" w:rsidRPr="008A003D" w:rsidRDefault="00621178" w:rsidP="008A003D">
      <w:pPr>
        <w:spacing w:before="100" w:beforeAutospacing="1" w:after="100" w:afterAutospacing="1" w:line="240" w:lineRule="auto"/>
        <w:ind w:left="634" w:hanging="589"/>
        <w:jc w:val="both"/>
        <w:rPr>
          <w:rFonts w:eastAsia="Calibri" w:cs="Arial"/>
          <w:b/>
          <w:sz w:val="28"/>
          <w:szCs w:val="28"/>
        </w:rPr>
      </w:pPr>
      <w:r w:rsidRPr="008A003D">
        <w:rPr>
          <w:rFonts w:eastAsia="Calibri" w:cs="Arial"/>
          <w:b/>
          <w:sz w:val="28"/>
          <w:szCs w:val="28"/>
        </w:rPr>
        <w:t xml:space="preserve">Reply: </w:t>
      </w:r>
    </w:p>
    <w:p w14:paraId="1E83D47E" w14:textId="77777777" w:rsidR="00621178" w:rsidRPr="00621178" w:rsidRDefault="006E42B1" w:rsidP="00621178">
      <w:pPr>
        <w:spacing w:after="240" w:line="360" w:lineRule="auto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The intended outcomes of the initiatives</w:t>
      </w:r>
      <w:r w:rsidR="00621178" w:rsidRPr="00621178">
        <w:rPr>
          <w:rFonts w:eastAsia="Calibri" w:cs="Arial"/>
          <w:sz w:val="28"/>
          <w:szCs w:val="28"/>
        </w:rPr>
        <w:t xml:space="preserve"> include;</w:t>
      </w:r>
    </w:p>
    <w:p w14:paraId="427BA9F5" w14:textId="77777777" w:rsidR="00621178" w:rsidRPr="006E42B1" w:rsidRDefault="00621178" w:rsidP="00423DFF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eastAsia="Calibri" w:cs="Arial"/>
          <w:sz w:val="28"/>
          <w:szCs w:val="28"/>
        </w:rPr>
      </w:pPr>
      <w:r w:rsidRPr="006E42B1">
        <w:rPr>
          <w:rFonts w:eastAsia="Calibri" w:cs="Arial"/>
          <w:sz w:val="28"/>
          <w:szCs w:val="28"/>
        </w:rPr>
        <w:t xml:space="preserve">Promoting investment in the mining cluster in the newly established One-Stop-Shop facility that links to the Invest South Africa process, developing a common message across key stakeholders and unlocking impediments to the entry of independent black capital.  </w:t>
      </w:r>
    </w:p>
    <w:p w14:paraId="1D340116" w14:textId="77777777" w:rsidR="00621178" w:rsidRPr="00423DFF" w:rsidRDefault="00621178" w:rsidP="00423DFF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eastAsia="Calibri" w:cs="Arial"/>
          <w:sz w:val="28"/>
          <w:szCs w:val="28"/>
        </w:rPr>
      </w:pPr>
      <w:r w:rsidRPr="00423DFF">
        <w:rPr>
          <w:rFonts w:eastAsia="Calibri" w:cs="Arial"/>
          <w:sz w:val="28"/>
          <w:szCs w:val="28"/>
        </w:rPr>
        <w:t xml:space="preserve">Increasing exploration </w:t>
      </w:r>
      <w:r w:rsidR="008A003D" w:rsidRPr="00423DFF">
        <w:rPr>
          <w:rFonts w:eastAsia="Calibri" w:cs="Arial"/>
          <w:sz w:val="28"/>
          <w:szCs w:val="28"/>
        </w:rPr>
        <w:t>through the</w:t>
      </w:r>
      <w:r w:rsidRPr="00423DFF">
        <w:rPr>
          <w:rFonts w:eastAsia="Calibri" w:cs="Arial"/>
          <w:sz w:val="28"/>
          <w:szCs w:val="28"/>
        </w:rPr>
        <w:t xml:space="preserve"> provision of cutting edge geo-scientific information and special funding mechanisms. </w:t>
      </w:r>
    </w:p>
    <w:p w14:paraId="6F1A5DBD" w14:textId="77777777" w:rsidR="00621178" w:rsidRPr="00423DFF" w:rsidRDefault="00621178" w:rsidP="00423DFF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eastAsia="Calibri" w:cs="Arial"/>
          <w:sz w:val="28"/>
          <w:szCs w:val="28"/>
        </w:rPr>
      </w:pPr>
      <w:r w:rsidRPr="00423DFF">
        <w:rPr>
          <w:rFonts w:eastAsia="Calibri" w:cs="Arial"/>
          <w:sz w:val="28"/>
          <w:szCs w:val="28"/>
        </w:rPr>
        <w:t xml:space="preserve">Increasing participation of emerging miners in the mining value chain by creating alternative funding mechanism and creating mechanisms for collaboration with Majors.  </w:t>
      </w:r>
    </w:p>
    <w:p w14:paraId="618B1711" w14:textId="77777777" w:rsidR="00621178" w:rsidRPr="00423DFF" w:rsidRDefault="00621178" w:rsidP="00423DFF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eastAsia="Calibri" w:cs="Arial"/>
          <w:sz w:val="28"/>
          <w:szCs w:val="28"/>
        </w:rPr>
      </w:pPr>
      <w:r w:rsidRPr="00423DFF">
        <w:rPr>
          <w:rFonts w:eastAsia="Calibri" w:cs="Arial"/>
          <w:sz w:val="28"/>
          <w:szCs w:val="28"/>
        </w:rPr>
        <w:lastRenderedPageBreak/>
        <w:t xml:space="preserve">The implementation of an industry wide decent work program with an initial focus on rights at work, the rejuvenation of Future Forums, policy alignment and social protection.  </w:t>
      </w:r>
    </w:p>
    <w:p w14:paraId="3000C74F" w14:textId="77777777" w:rsidR="00621178" w:rsidRPr="00423DFF" w:rsidRDefault="00621178" w:rsidP="00423DFF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eastAsia="Calibri" w:cs="Arial"/>
          <w:sz w:val="28"/>
          <w:szCs w:val="28"/>
        </w:rPr>
      </w:pPr>
      <w:r w:rsidRPr="00423DFF">
        <w:rPr>
          <w:rFonts w:eastAsia="Calibri" w:cs="Arial"/>
          <w:sz w:val="28"/>
          <w:szCs w:val="28"/>
        </w:rPr>
        <w:t xml:space="preserve">The implementation of a cluster reskilling and upskilling programme that is collaborative, transparent and enables mobility across the cluster. </w:t>
      </w:r>
    </w:p>
    <w:p w14:paraId="28EAFD43" w14:textId="77777777" w:rsidR="00621178" w:rsidRPr="00423DFF" w:rsidRDefault="00621178" w:rsidP="00423DFF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eastAsia="Calibri" w:cs="Arial"/>
          <w:sz w:val="28"/>
          <w:szCs w:val="28"/>
        </w:rPr>
      </w:pPr>
      <w:r w:rsidRPr="00423DFF">
        <w:rPr>
          <w:rFonts w:eastAsia="Calibri" w:cs="Arial"/>
          <w:sz w:val="28"/>
          <w:szCs w:val="28"/>
        </w:rPr>
        <w:t xml:space="preserve">The establishment of a multi-stakeholder crisis intervention task force (modelled on government intervention post the financial crisis) with the objective of saving marginal mines and jobs. </w:t>
      </w:r>
    </w:p>
    <w:p w14:paraId="5A02CBD4" w14:textId="77777777" w:rsidR="00621178" w:rsidRPr="00621178" w:rsidRDefault="00423DFF" w:rsidP="00621178">
      <w:pPr>
        <w:spacing w:after="200" w:line="276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T</w:t>
      </w:r>
      <w:r w:rsidR="00621178" w:rsidRPr="00621178">
        <w:rPr>
          <w:rFonts w:eastAsia="Calibri" w:cs="Times New Roman"/>
          <w:sz w:val="28"/>
          <w:szCs w:val="28"/>
        </w:rPr>
        <w:t xml:space="preserve">he Mining </w:t>
      </w:r>
      <w:proofErr w:type="spellStart"/>
      <w:r w:rsidR="00621178" w:rsidRPr="00621178">
        <w:rPr>
          <w:rFonts w:eastAsia="Calibri" w:cs="Times New Roman"/>
          <w:sz w:val="28"/>
          <w:szCs w:val="28"/>
        </w:rPr>
        <w:t>Phakisa</w:t>
      </w:r>
      <w:proofErr w:type="spellEnd"/>
      <w:r w:rsidR="00621178" w:rsidRPr="00621178">
        <w:rPr>
          <w:rFonts w:eastAsia="Calibri" w:cs="Times New Roman"/>
          <w:sz w:val="28"/>
          <w:szCs w:val="28"/>
        </w:rPr>
        <w:t xml:space="preserve"> Lab took five weeks, from 26 October 2015 to the 27 November 2015</w:t>
      </w:r>
      <w:r>
        <w:rPr>
          <w:rFonts w:eastAsia="Calibri" w:cs="Times New Roman"/>
          <w:sz w:val="28"/>
          <w:szCs w:val="28"/>
        </w:rPr>
        <w:t xml:space="preserve"> </w:t>
      </w:r>
      <w:r w:rsidR="00621178" w:rsidRPr="00621178">
        <w:rPr>
          <w:rFonts w:eastAsia="Calibri" w:cs="Times New Roman"/>
          <w:sz w:val="28"/>
          <w:szCs w:val="28"/>
        </w:rPr>
        <w:t xml:space="preserve">in Limpopo (3 weeks at the Legends Resort) and at the Capital Hotel in </w:t>
      </w:r>
      <w:proofErr w:type="spellStart"/>
      <w:r w:rsidR="00621178" w:rsidRPr="00621178">
        <w:rPr>
          <w:rFonts w:eastAsia="Calibri" w:cs="Times New Roman"/>
          <w:sz w:val="28"/>
          <w:szCs w:val="28"/>
        </w:rPr>
        <w:t>Sandton</w:t>
      </w:r>
      <w:proofErr w:type="spellEnd"/>
      <w:r w:rsidR="00621178" w:rsidRPr="00621178">
        <w:rPr>
          <w:rFonts w:eastAsia="Calibri" w:cs="Times New Roman"/>
          <w:sz w:val="28"/>
          <w:szCs w:val="28"/>
        </w:rPr>
        <w:t xml:space="preserve"> (2 weeks)</w:t>
      </w:r>
      <w:r>
        <w:rPr>
          <w:rFonts w:eastAsia="Calibri" w:cs="Times New Roman"/>
          <w:sz w:val="28"/>
          <w:szCs w:val="28"/>
        </w:rPr>
        <w:t>.</w:t>
      </w:r>
      <w:r w:rsidR="00621178" w:rsidRPr="00621178">
        <w:rPr>
          <w:rFonts w:eastAsia="Calibri" w:cs="Times New Roman"/>
          <w:sz w:val="28"/>
          <w:szCs w:val="28"/>
        </w:rPr>
        <w:t xml:space="preserve"> </w:t>
      </w:r>
    </w:p>
    <w:p w14:paraId="385271B6" w14:textId="77777777" w:rsidR="00621178" w:rsidRDefault="00621178" w:rsidP="00621178">
      <w:pPr>
        <w:spacing w:after="200" w:line="276" w:lineRule="auto"/>
        <w:rPr>
          <w:rFonts w:eastAsia="Calibri" w:cs="Times New Roman"/>
          <w:sz w:val="28"/>
          <w:szCs w:val="28"/>
        </w:rPr>
      </w:pPr>
      <w:r w:rsidRPr="00621178">
        <w:rPr>
          <w:rFonts w:eastAsia="Calibri" w:cs="Times New Roman"/>
          <w:sz w:val="28"/>
          <w:szCs w:val="28"/>
        </w:rPr>
        <w:t>Stakeholders from organised business</w:t>
      </w:r>
      <w:r w:rsidR="00423DFF">
        <w:rPr>
          <w:rFonts w:eastAsia="Calibri" w:cs="Times New Roman"/>
          <w:sz w:val="28"/>
          <w:szCs w:val="28"/>
        </w:rPr>
        <w:t>,</w:t>
      </w:r>
      <w:r w:rsidRPr="00621178">
        <w:rPr>
          <w:rFonts w:eastAsia="Calibri" w:cs="Times New Roman"/>
          <w:sz w:val="28"/>
          <w:szCs w:val="28"/>
        </w:rPr>
        <w:t xml:space="preserve"> organised labour, civil society, </w:t>
      </w:r>
      <w:r w:rsidR="00423DFF">
        <w:rPr>
          <w:rFonts w:eastAsia="Calibri" w:cs="Times New Roman"/>
          <w:sz w:val="28"/>
          <w:szCs w:val="28"/>
        </w:rPr>
        <w:t xml:space="preserve">some </w:t>
      </w:r>
      <w:r w:rsidRPr="00621178">
        <w:rPr>
          <w:rFonts w:eastAsia="Calibri" w:cs="Times New Roman"/>
          <w:sz w:val="28"/>
          <w:szCs w:val="28"/>
        </w:rPr>
        <w:t>chapter 9 institutions</w:t>
      </w:r>
      <w:r w:rsidR="00423DFF">
        <w:rPr>
          <w:rFonts w:eastAsia="Calibri" w:cs="Times New Roman"/>
          <w:sz w:val="28"/>
          <w:szCs w:val="28"/>
        </w:rPr>
        <w:t>,</w:t>
      </w:r>
      <w:r w:rsidRPr="00621178">
        <w:rPr>
          <w:rFonts w:eastAsia="Calibri" w:cs="Times New Roman"/>
          <w:sz w:val="28"/>
          <w:szCs w:val="28"/>
        </w:rPr>
        <w:t xml:space="preserve"> Congress of traditional Leaders and government departments attended the Mining </w:t>
      </w:r>
      <w:proofErr w:type="spellStart"/>
      <w:r w:rsidRPr="00621178">
        <w:rPr>
          <w:rFonts w:eastAsia="Calibri" w:cs="Times New Roman"/>
          <w:sz w:val="28"/>
          <w:szCs w:val="28"/>
        </w:rPr>
        <w:t>Phakisa</w:t>
      </w:r>
      <w:proofErr w:type="spellEnd"/>
      <w:r w:rsidRPr="00621178">
        <w:rPr>
          <w:rFonts w:eastAsia="Calibri" w:cs="Times New Roman"/>
          <w:sz w:val="28"/>
          <w:szCs w:val="28"/>
        </w:rPr>
        <w:t xml:space="preserve"> lab</w:t>
      </w:r>
      <w:r w:rsidR="007052B4">
        <w:rPr>
          <w:rFonts w:eastAsia="Calibri" w:cs="Times New Roman"/>
          <w:sz w:val="28"/>
          <w:szCs w:val="28"/>
        </w:rPr>
        <w:t xml:space="preserve">. The cost was </w:t>
      </w:r>
      <w:r w:rsidRPr="00621178">
        <w:rPr>
          <w:rFonts w:eastAsia="Calibri" w:cs="Times New Roman"/>
          <w:sz w:val="28"/>
          <w:szCs w:val="28"/>
        </w:rPr>
        <w:t>R26 785 520.81</w:t>
      </w:r>
      <w:r w:rsidR="007052B4">
        <w:rPr>
          <w:rFonts w:eastAsia="Calibri" w:cs="Times New Roman"/>
          <w:sz w:val="28"/>
          <w:szCs w:val="28"/>
        </w:rPr>
        <w:t xml:space="preserve"> and th</w:t>
      </w:r>
      <w:r w:rsidRPr="00621178">
        <w:rPr>
          <w:rFonts w:eastAsia="Calibri" w:cs="Times New Roman"/>
          <w:sz w:val="28"/>
          <w:szCs w:val="28"/>
        </w:rPr>
        <w:t xml:space="preserve">e report will be made available after the Presidential Launch </w:t>
      </w:r>
      <w:r w:rsidR="007052B4">
        <w:rPr>
          <w:rFonts w:eastAsia="Calibri" w:cs="Times New Roman"/>
          <w:sz w:val="28"/>
          <w:szCs w:val="28"/>
        </w:rPr>
        <w:t>in</w:t>
      </w:r>
      <w:r w:rsidRPr="00621178">
        <w:rPr>
          <w:rFonts w:eastAsia="Calibri" w:cs="Times New Roman"/>
          <w:sz w:val="28"/>
          <w:szCs w:val="28"/>
        </w:rPr>
        <w:t xml:space="preserve"> December 2016</w:t>
      </w:r>
      <w:r w:rsidR="007052B4">
        <w:rPr>
          <w:rFonts w:eastAsia="Calibri" w:cs="Times New Roman"/>
          <w:sz w:val="28"/>
          <w:szCs w:val="28"/>
        </w:rPr>
        <w:t>.</w:t>
      </w:r>
    </w:p>
    <w:sectPr w:rsidR="00621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30B"/>
    <w:multiLevelType w:val="hybridMultilevel"/>
    <w:tmpl w:val="9072E2D8"/>
    <w:lvl w:ilvl="0" w:tplc="1C09000F">
      <w:start w:val="1"/>
      <w:numFmt w:val="decimal"/>
      <w:lvlText w:val="%1."/>
      <w:lvlJc w:val="left"/>
      <w:pPr>
        <w:ind w:left="765" w:hanging="360"/>
      </w:p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7B94809"/>
    <w:multiLevelType w:val="hybridMultilevel"/>
    <w:tmpl w:val="0AE439EE"/>
    <w:lvl w:ilvl="0" w:tplc="A2F29F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D654B"/>
    <w:multiLevelType w:val="multilevel"/>
    <w:tmpl w:val="2D9E5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E163A6"/>
    <w:multiLevelType w:val="hybridMultilevel"/>
    <w:tmpl w:val="810ABB52"/>
    <w:lvl w:ilvl="0" w:tplc="82C4F712">
      <w:start w:val="1"/>
      <w:numFmt w:val="decimal"/>
      <w:lvlText w:val="%1)(a) "/>
      <w:lvlJc w:val="left"/>
      <w:pPr>
        <w:ind w:left="720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6A"/>
    <w:rsid w:val="0040224F"/>
    <w:rsid w:val="00423DFF"/>
    <w:rsid w:val="00530F6A"/>
    <w:rsid w:val="005C2491"/>
    <w:rsid w:val="00621178"/>
    <w:rsid w:val="006E42B1"/>
    <w:rsid w:val="007052B4"/>
    <w:rsid w:val="00825215"/>
    <w:rsid w:val="008A003D"/>
    <w:rsid w:val="00A61A63"/>
    <w:rsid w:val="00B6582F"/>
    <w:rsid w:val="00D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20B90"/>
  <w15:chartTrackingRefBased/>
  <w15:docId w15:val="{E034DC70-1512-4247-ACA0-02EF5789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3D"/>
    <w:pPr>
      <w:ind w:left="720"/>
      <w:contextualSpacing/>
    </w:pPr>
  </w:style>
  <w:style w:type="character" w:styleId="Hyperlink">
    <w:name w:val="Hyperlink"/>
    <w:uiPriority w:val="99"/>
    <w:rsid w:val="00423DF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23DFF"/>
    <w:pPr>
      <w:spacing w:after="0" w:line="240" w:lineRule="auto"/>
    </w:pPr>
    <w:rPr>
      <w:rFonts w:ascii="Calibri" w:eastAsia="Times New Roman" w:hAnsi="Calibri" w:cs="Times New Roman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2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m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Madale</dc:creator>
  <cp:keywords/>
  <dc:description/>
  <cp:lastModifiedBy>Sehlabela Chuene</cp:lastModifiedBy>
  <cp:revision>2</cp:revision>
  <cp:lastPrinted>2016-11-29T09:59:00Z</cp:lastPrinted>
  <dcterms:created xsi:type="dcterms:W3CDTF">2016-12-01T10:47:00Z</dcterms:created>
  <dcterms:modified xsi:type="dcterms:W3CDTF">2016-12-01T10:47:00Z</dcterms:modified>
</cp:coreProperties>
</file>