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B06762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012F1">
        <w:rPr>
          <w:rFonts w:ascii="Arial" w:hAnsi="Arial" w:cs="Arial"/>
          <w:b/>
          <w:sz w:val="22"/>
          <w:szCs w:val="22"/>
          <w:u w:val="single"/>
        </w:rPr>
        <w:t>2592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0012F1">
        <w:rPr>
          <w:rFonts w:ascii="Arial" w:hAnsi="Arial" w:cs="Arial"/>
          <w:b/>
          <w:sz w:val="22"/>
          <w:szCs w:val="22"/>
          <w:u w:val="single"/>
        </w:rPr>
        <w:t>1 SEPTEMBER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0012F1">
        <w:rPr>
          <w:rFonts w:ascii="Arial" w:hAnsi="Arial" w:cs="Arial"/>
          <w:b/>
          <w:sz w:val="22"/>
          <w:szCs w:val="22"/>
          <w:u w:val="single"/>
        </w:rPr>
        <w:t>31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012F1" w:rsidRPr="000012F1" w:rsidRDefault="000012F1" w:rsidP="000012F1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sz w:val="22"/>
          <w:szCs w:val="22"/>
          <w:lang w:val="en-ZA"/>
        </w:rPr>
      </w:pPr>
      <w:r w:rsidRPr="000012F1">
        <w:rPr>
          <w:rFonts w:ascii="Arial" w:eastAsia="Calibri" w:hAnsi="Arial" w:cs="Arial"/>
          <w:b/>
          <w:sz w:val="22"/>
          <w:szCs w:val="22"/>
          <w:lang w:val="en-ZA"/>
        </w:rPr>
        <w:t>2592.</w:t>
      </w:r>
      <w:r w:rsidRPr="000012F1">
        <w:rPr>
          <w:rFonts w:ascii="Arial" w:eastAsia="Calibri" w:hAnsi="Arial" w:cs="Arial"/>
          <w:b/>
          <w:sz w:val="22"/>
          <w:szCs w:val="22"/>
          <w:lang w:val="en-ZA"/>
        </w:rPr>
        <w:tab/>
        <w:t>Ms M S Khawula (EFF) to ask the Minister of Water and Sanitation:</w:t>
      </w:r>
    </w:p>
    <w:p w:rsidR="00BB3141" w:rsidRPr="007B3097" w:rsidRDefault="000012F1" w:rsidP="007B3097">
      <w:pPr>
        <w:spacing w:before="100" w:beforeAutospacing="1" w:after="100" w:afterAutospacing="1"/>
        <w:ind w:left="851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0012F1">
        <w:rPr>
          <w:rFonts w:ascii="Arial" w:eastAsia="Calibri" w:hAnsi="Arial" w:cs="Arial"/>
          <w:sz w:val="22"/>
          <w:szCs w:val="22"/>
          <w:lang w:val="en-ZA"/>
        </w:rPr>
        <w:t xml:space="preserve">When </w:t>
      </w:r>
      <w:proofErr w:type="gramStart"/>
      <w:r w:rsidR="007B3097">
        <w:rPr>
          <w:rFonts w:ascii="Arial" w:eastAsia="Calibri" w:hAnsi="Arial" w:cs="Arial"/>
          <w:sz w:val="22"/>
          <w:szCs w:val="22"/>
          <w:lang w:val="en-ZA"/>
        </w:rPr>
        <w:t>are the application</w:t>
      </w:r>
      <w:proofErr w:type="gramEnd"/>
      <w:r w:rsidRPr="000012F1">
        <w:rPr>
          <w:rFonts w:ascii="Arial" w:eastAsia="Calibri" w:hAnsi="Arial" w:cs="Arial"/>
          <w:sz w:val="22"/>
          <w:szCs w:val="22"/>
          <w:lang w:val="en-ZA"/>
        </w:rPr>
        <w:t xml:space="preserve"> dates (a) opening and (b) closing for the board positions of all entities and councils reporting to her?</w:t>
      </w:r>
      <w:r w:rsidRPr="000012F1">
        <w:rPr>
          <w:rFonts w:ascii="Arial" w:eastAsia="Calibri" w:hAnsi="Arial" w:cs="Arial"/>
          <w:sz w:val="22"/>
          <w:szCs w:val="22"/>
          <w:lang w:val="en-ZA"/>
        </w:rPr>
        <w:tab/>
      </w:r>
      <w:r w:rsidRPr="000012F1">
        <w:rPr>
          <w:rFonts w:ascii="Arial" w:eastAsia="Calibri" w:hAnsi="Arial" w:cs="Arial"/>
          <w:lang w:val="en-ZA"/>
        </w:rPr>
        <w:tab/>
      </w:r>
      <w:r w:rsidRPr="000012F1">
        <w:rPr>
          <w:rFonts w:ascii="Arial" w:eastAsia="Calibri" w:hAnsi="Arial" w:cs="Arial"/>
          <w:lang w:val="en-ZA"/>
        </w:rPr>
        <w:tab/>
      </w:r>
      <w:r w:rsidRPr="000012F1">
        <w:rPr>
          <w:rFonts w:ascii="Arial" w:eastAsia="Calibri" w:hAnsi="Arial" w:cs="Arial"/>
          <w:lang w:val="en-ZA"/>
        </w:rPr>
        <w:tab/>
      </w:r>
      <w:r w:rsidRPr="000012F1">
        <w:rPr>
          <w:rFonts w:ascii="Arial" w:eastAsia="Calibri" w:hAnsi="Arial" w:cs="Arial"/>
          <w:lang w:val="en-ZA"/>
        </w:rPr>
        <w:tab/>
      </w:r>
      <w:r w:rsidR="007B3097">
        <w:rPr>
          <w:rFonts w:ascii="Arial" w:eastAsia="Calibri" w:hAnsi="Arial" w:cs="Arial"/>
          <w:lang w:val="en-ZA"/>
        </w:rPr>
        <w:tab/>
      </w:r>
      <w:r w:rsidRPr="000012F1">
        <w:rPr>
          <w:rFonts w:ascii="Arial" w:eastAsia="Calibri" w:hAnsi="Arial" w:cs="Arial"/>
          <w:sz w:val="16"/>
          <w:szCs w:val="16"/>
          <w:lang w:val="en-ZA"/>
        </w:rPr>
        <w:t>NW2896E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7B3097" w:rsidP="007B3097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Refer to table below: 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820"/>
        <w:gridCol w:w="2694"/>
      </w:tblGrid>
      <w:tr w:rsidR="005B5B67" w:rsidRPr="007B3097" w:rsidTr="007B3097">
        <w:trPr>
          <w:tblHeader/>
        </w:trPr>
        <w:tc>
          <w:tcPr>
            <w:tcW w:w="709" w:type="dxa"/>
            <w:shd w:val="clear" w:color="auto" w:fill="E5B8B7" w:themeFill="accent2" w:themeFillTint="66"/>
            <w:vAlign w:val="center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Entity</w:t>
            </w:r>
          </w:p>
        </w:tc>
        <w:tc>
          <w:tcPr>
            <w:tcW w:w="4820" w:type="dxa"/>
            <w:shd w:val="clear" w:color="auto" w:fill="E5B8B7" w:themeFill="accent2" w:themeFillTint="66"/>
            <w:vAlign w:val="center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b/>
                <w:sz w:val="20"/>
                <w:szCs w:val="20"/>
                <w:lang w:val="en-GB"/>
              </w:rPr>
              <w:t>(a)</w:t>
            </w:r>
            <w:r w:rsidR="007B3097" w:rsidRPr="007B309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Opening for the board positions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b/>
                <w:sz w:val="20"/>
                <w:szCs w:val="20"/>
                <w:lang w:val="en-GB"/>
              </w:rPr>
              <w:t>(b)</w:t>
            </w:r>
            <w:r w:rsidR="007B3097" w:rsidRPr="007B309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Closing for board positions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Amatola Water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Board of Amatola Water was appointed in February 2016.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The term of office of the Board expires in 2020. 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Bloem Water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Board of Bloem Water was appointed in April 2014.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rPr>
                <w:sz w:val="20"/>
                <w:szCs w:val="20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term of office of the Board expires in 2018.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Lepelle Northern Water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The Board of Lepelle Northern Water was appointed in April 2016 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rPr>
                <w:sz w:val="20"/>
                <w:szCs w:val="20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term of office of the Board expires in 2020.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Magalies Water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Board of Magalies Water was appointed in April 2014.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rPr>
                <w:sz w:val="20"/>
                <w:szCs w:val="20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term of office of the Board expires in 2018.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Mhlathuze Water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The term of office of the Board was terminated in April 2017. The acting Chief Executive was appointed as the Accounting Authority in terms of Section </w:t>
            </w:r>
            <w:r w:rsidRPr="007B3097">
              <w:rPr>
                <w:rFonts w:ascii="Arial" w:hAnsi="Arial" w:cs="Arial"/>
                <w:sz w:val="20"/>
                <w:szCs w:val="20"/>
                <w:lang w:val="en-ZA"/>
              </w:rPr>
              <w:t>49(2) of the Public Finance Management Act, 1999 (Act No.1 of 1999) as amended.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The process for the appointment of a new Board has commenced. 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6.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Overberg Water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The term of office of the Board was terminated in June 2017. The acting Chief Executive was appointed as the Accounting Authority in terms of Section </w:t>
            </w:r>
            <w:r w:rsidRPr="007B3097">
              <w:rPr>
                <w:rFonts w:ascii="Arial" w:hAnsi="Arial" w:cs="Arial"/>
                <w:sz w:val="20"/>
                <w:szCs w:val="20"/>
                <w:lang w:val="en-ZA"/>
              </w:rPr>
              <w:t>49(2) of the Public Finance Management Act, 1999 (Act No.1 of 1999) as amended.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Process for the appointment of a new Board</w:t>
            </w:r>
            <w:r w:rsidR="007B3097"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has commenced. 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7.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Rand Water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Board was appointed in April 2014.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term of office of the Board expires in 2018.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8.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Sedibeng Water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Board was appointed in April 2017.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term of office of the Board expires in 2021.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9.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Umgeni Water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The term of office of the Board was terminated in June 2017. The acting Chief Executive was appointed as the Accounting Authority in terms of Section </w:t>
            </w:r>
            <w:r w:rsidRPr="007B3097">
              <w:rPr>
                <w:rFonts w:ascii="Arial" w:hAnsi="Arial" w:cs="Arial"/>
                <w:sz w:val="20"/>
                <w:szCs w:val="20"/>
                <w:lang w:val="en-ZA"/>
              </w:rPr>
              <w:t>49(2) of the Public Finance Management Act, 1999 (Act No.1 of 1999) as amended.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process for the appointment of a new Board has commenced.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10.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Trans-Caledon Tunnel Authority (TCTA)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Board of the TCTA was appointed in December 2015.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rPr>
                <w:sz w:val="20"/>
                <w:szCs w:val="20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term of office of the Board expires in 2018.</w:t>
            </w:r>
          </w:p>
        </w:tc>
      </w:tr>
      <w:tr w:rsidR="005B5B67" w:rsidRPr="007B3097" w:rsidTr="007B3097">
        <w:tc>
          <w:tcPr>
            <w:tcW w:w="709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11. </w:t>
            </w:r>
          </w:p>
        </w:tc>
        <w:tc>
          <w:tcPr>
            <w:tcW w:w="2126" w:type="dxa"/>
          </w:tcPr>
          <w:p w:rsidR="005B5B67" w:rsidRPr="007B3097" w:rsidRDefault="005B5B67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 xml:space="preserve">Water Research Commission (WRC) </w:t>
            </w:r>
          </w:p>
        </w:tc>
        <w:tc>
          <w:tcPr>
            <w:tcW w:w="4820" w:type="dxa"/>
          </w:tcPr>
          <w:p w:rsidR="005B5B67" w:rsidRPr="007B3097" w:rsidRDefault="005B5B67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Board of the WRC was appointed in 2016.</w:t>
            </w:r>
          </w:p>
        </w:tc>
        <w:tc>
          <w:tcPr>
            <w:tcW w:w="2694" w:type="dxa"/>
          </w:tcPr>
          <w:p w:rsidR="005B5B67" w:rsidRPr="007B3097" w:rsidRDefault="005B5B67" w:rsidP="007B3097">
            <w:pPr>
              <w:contextualSpacing/>
              <w:rPr>
                <w:sz w:val="20"/>
                <w:szCs w:val="20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term of office of the Board expires in 2020</w:t>
            </w:r>
          </w:p>
        </w:tc>
      </w:tr>
      <w:tr w:rsidR="00D817B8" w:rsidRPr="007B3097" w:rsidTr="007B3097">
        <w:tc>
          <w:tcPr>
            <w:tcW w:w="709" w:type="dxa"/>
          </w:tcPr>
          <w:p w:rsidR="00D817B8" w:rsidRPr="007B3097" w:rsidRDefault="00D1537B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12.</w:t>
            </w:r>
          </w:p>
        </w:tc>
        <w:tc>
          <w:tcPr>
            <w:tcW w:w="2126" w:type="dxa"/>
          </w:tcPr>
          <w:p w:rsidR="00D817B8" w:rsidRPr="007B3097" w:rsidRDefault="00D1537B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Inkomati-Usuthu CMA</w:t>
            </w:r>
          </w:p>
        </w:tc>
        <w:tc>
          <w:tcPr>
            <w:tcW w:w="4820" w:type="dxa"/>
          </w:tcPr>
          <w:p w:rsidR="00D817B8" w:rsidRPr="007B3097" w:rsidRDefault="00D817B8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Board of Inkomati-Usuthu CMA was appointed in 2014</w:t>
            </w:r>
          </w:p>
        </w:tc>
        <w:tc>
          <w:tcPr>
            <w:tcW w:w="2694" w:type="dxa"/>
          </w:tcPr>
          <w:p w:rsidR="00D817B8" w:rsidRPr="007B3097" w:rsidRDefault="00D817B8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term of office of the Board expires in 2018</w:t>
            </w:r>
          </w:p>
        </w:tc>
      </w:tr>
      <w:tr w:rsidR="00D817B8" w:rsidRPr="007B3097" w:rsidTr="007B3097">
        <w:tc>
          <w:tcPr>
            <w:tcW w:w="709" w:type="dxa"/>
          </w:tcPr>
          <w:p w:rsidR="00D817B8" w:rsidRPr="007B3097" w:rsidRDefault="00D1537B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13.</w:t>
            </w:r>
          </w:p>
        </w:tc>
        <w:tc>
          <w:tcPr>
            <w:tcW w:w="2126" w:type="dxa"/>
          </w:tcPr>
          <w:p w:rsidR="00D817B8" w:rsidRPr="007B3097" w:rsidRDefault="00D1537B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Breede-Gouritz CMA</w:t>
            </w:r>
          </w:p>
        </w:tc>
        <w:tc>
          <w:tcPr>
            <w:tcW w:w="4820" w:type="dxa"/>
          </w:tcPr>
          <w:p w:rsidR="00D817B8" w:rsidRPr="007B3097" w:rsidRDefault="00D817B8" w:rsidP="007B309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Interim Board of Breede-Gouritz CMA was appointed in 2014</w:t>
            </w:r>
          </w:p>
        </w:tc>
        <w:tc>
          <w:tcPr>
            <w:tcW w:w="2694" w:type="dxa"/>
          </w:tcPr>
          <w:p w:rsidR="00D817B8" w:rsidRPr="007B3097" w:rsidRDefault="00D817B8" w:rsidP="007B3097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097">
              <w:rPr>
                <w:rFonts w:ascii="Arial" w:hAnsi="Arial" w:cs="Arial"/>
                <w:sz w:val="20"/>
                <w:szCs w:val="20"/>
                <w:lang w:val="en-GB"/>
              </w:rPr>
              <w:t>The term of office of the Board expires in 2018</w:t>
            </w:r>
          </w:p>
        </w:tc>
      </w:tr>
    </w:tbl>
    <w:p w:rsidR="00B06762" w:rsidRDefault="00B0676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57" w:rsidRDefault="00627A57">
      <w:r>
        <w:separator/>
      </w:r>
    </w:p>
  </w:endnote>
  <w:endnote w:type="continuationSeparator" w:id="0">
    <w:p w:rsidR="00627A57" w:rsidRDefault="0062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0012F1">
      <w:rPr>
        <w:rFonts w:ascii="Arial" w:hAnsi="Arial" w:cs="Arial"/>
        <w:sz w:val="16"/>
        <w:szCs w:val="16"/>
      </w:rPr>
      <w:t>2592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0012F1">
      <w:rPr>
        <w:rFonts w:ascii="Arial" w:hAnsi="Arial" w:cs="Arial"/>
        <w:sz w:val="16"/>
        <w:szCs w:val="16"/>
      </w:rPr>
      <w:t>896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C07D6E">
      <w:rPr>
        <w:rFonts w:ascii="Arial" w:hAnsi="Arial" w:cs="Arial"/>
        <w:sz w:val="16"/>
        <w:szCs w:val="16"/>
      </w:rPr>
      <w:t>2</w:t>
    </w:r>
    <w:r w:rsidR="000012F1">
      <w:rPr>
        <w:rFonts w:ascii="Arial" w:hAnsi="Arial" w:cs="Arial"/>
        <w:sz w:val="16"/>
        <w:szCs w:val="16"/>
      </w:rPr>
      <w:t>592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0012F1">
      <w:rPr>
        <w:rFonts w:ascii="Arial" w:hAnsi="Arial" w:cs="Arial"/>
        <w:sz w:val="16"/>
        <w:szCs w:val="16"/>
      </w:rPr>
      <w:t>896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57" w:rsidRDefault="00627A57">
      <w:r>
        <w:separator/>
      </w:r>
    </w:p>
  </w:footnote>
  <w:footnote w:type="continuationSeparator" w:id="0">
    <w:p w:rsidR="00627A57" w:rsidRDefault="0062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09205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AF5"/>
    <w:rsid w:val="00090929"/>
    <w:rsid w:val="000910A6"/>
    <w:rsid w:val="0009164F"/>
    <w:rsid w:val="0009205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5EAF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164A"/>
    <w:rsid w:val="001B6327"/>
    <w:rsid w:val="001B6885"/>
    <w:rsid w:val="001C5CAE"/>
    <w:rsid w:val="001D03EF"/>
    <w:rsid w:val="001D3462"/>
    <w:rsid w:val="001D7AE5"/>
    <w:rsid w:val="001E036C"/>
    <w:rsid w:val="001E108E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452F"/>
    <w:rsid w:val="002451BE"/>
    <w:rsid w:val="00245891"/>
    <w:rsid w:val="00245EC0"/>
    <w:rsid w:val="00255C22"/>
    <w:rsid w:val="00255D67"/>
    <w:rsid w:val="00255D9D"/>
    <w:rsid w:val="002607A0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2CC8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A26D5"/>
    <w:rsid w:val="005B15A3"/>
    <w:rsid w:val="005B5B67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0AD5"/>
    <w:rsid w:val="00611412"/>
    <w:rsid w:val="00627A57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63B5B"/>
    <w:rsid w:val="00677C2D"/>
    <w:rsid w:val="00680B26"/>
    <w:rsid w:val="00686EA2"/>
    <w:rsid w:val="00687013"/>
    <w:rsid w:val="0069377A"/>
    <w:rsid w:val="00696BD5"/>
    <w:rsid w:val="006A1BF0"/>
    <w:rsid w:val="006A2684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3097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1C8"/>
    <w:rsid w:val="008A7DCE"/>
    <w:rsid w:val="008B04A4"/>
    <w:rsid w:val="008B1C30"/>
    <w:rsid w:val="008B3DE3"/>
    <w:rsid w:val="008B517B"/>
    <w:rsid w:val="008B66F5"/>
    <w:rsid w:val="008C35B4"/>
    <w:rsid w:val="008C4653"/>
    <w:rsid w:val="008C7DFF"/>
    <w:rsid w:val="008D21E8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4CC4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840B7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06762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C0190C"/>
    <w:rsid w:val="00C01DB2"/>
    <w:rsid w:val="00C04C77"/>
    <w:rsid w:val="00C067D2"/>
    <w:rsid w:val="00C06F36"/>
    <w:rsid w:val="00C07D6E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5004"/>
    <w:rsid w:val="00D1537B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817B8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175A7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FE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B5B67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B5B67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2017-10-09T14:04:00Z</dcterms:created>
  <dcterms:modified xsi:type="dcterms:W3CDTF">2017-10-09T14:04:00Z</dcterms:modified>
</cp:coreProperties>
</file>