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B20A4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B20A46">
        <w:rPr>
          <w:rFonts w:ascii="Arial" w:eastAsia="Times New Roman" w:hAnsi="Arial" w:cs="Arial"/>
          <w:b/>
          <w:snapToGrid w:val="0"/>
          <w:sz w:val="40"/>
          <w:szCs w:val="40"/>
          <w:lang w:val="en-GB"/>
        </w:rPr>
        <w:t>QUESTION NUMBER:</w:t>
      </w:r>
      <w:r w:rsidR="00E556BF" w:rsidRPr="00B20A46">
        <w:rPr>
          <w:rFonts w:ascii="Arial" w:eastAsia="Times New Roman" w:hAnsi="Arial" w:cs="Arial"/>
          <w:b/>
          <w:snapToGrid w:val="0"/>
          <w:sz w:val="40"/>
          <w:szCs w:val="40"/>
          <w:lang w:val="en-GB"/>
        </w:rPr>
        <w:t xml:space="preserve"> </w:t>
      </w:r>
      <w:r w:rsidRPr="00B20A46">
        <w:rPr>
          <w:rFonts w:ascii="Arial" w:eastAsia="Times New Roman" w:hAnsi="Arial" w:cs="Arial"/>
          <w:b/>
          <w:snapToGrid w:val="0"/>
          <w:sz w:val="40"/>
          <w:szCs w:val="40"/>
          <w:lang w:val="en-GB"/>
        </w:rPr>
        <w:tab/>
      </w:r>
      <w:r w:rsidR="00BB0CE2" w:rsidRPr="00B20A46">
        <w:rPr>
          <w:rFonts w:ascii="Arial" w:eastAsia="Times New Roman" w:hAnsi="Arial" w:cs="Arial"/>
          <w:b/>
          <w:snapToGrid w:val="0"/>
          <w:sz w:val="40"/>
          <w:szCs w:val="40"/>
          <w:lang w:val="en-GB"/>
        </w:rPr>
        <w:t>2</w:t>
      </w:r>
      <w:r w:rsidR="0010155B">
        <w:rPr>
          <w:rFonts w:ascii="Arial" w:eastAsia="Times New Roman" w:hAnsi="Arial" w:cs="Arial"/>
          <w:b/>
          <w:snapToGrid w:val="0"/>
          <w:sz w:val="40"/>
          <w:szCs w:val="40"/>
          <w:lang w:val="en-GB"/>
        </w:rPr>
        <w:t>5</w:t>
      </w:r>
      <w:r w:rsidR="008F3244">
        <w:rPr>
          <w:rFonts w:ascii="Arial" w:eastAsia="Times New Roman" w:hAnsi="Arial" w:cs="Arial"/>
          <w:b/>
          <w:snapToGrid w:val="0"/>
          <w:sz w:val="40"/>
          <w:szCs w:val="40"/>
          <w:lang w:val="en-GB"/>
        </w:rPr>
        <w:t>85</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10155B">
        <w:rPr>
          <w:rFonts w:ascii="Arial" w:eastAsia="Times New Roman" w:hAnsi="Arial" w:cs="Arial"/>
          <w:b/>
          <w:snapToGrid w:val="0"/>
          <w:sz w:val="40"/>
          <w:szCs w:val="40"/>
          <w:lang w:val="en-GB"/>
        </w:rPr>
        <w:t>30</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10155B">
        <w:rPr>
          <w:rFonts w:ascii="Arial" w:eastAsia="Times New Roman" w:hAnsi="Arial" w:cs="Arial"/>
          <w:b/>
          <w:snapToGrid w:val="0"/>
          <w:sz w:val="40"/>
          <w:szCs w:val="40"/>
          <w:lang w:val="en-GB"/>
        </w:rPr>
        <w:t>42</w:t>
      </w:r>
      <w:r w:rsidR="009E7540">
        <w:rPr>
          <w:rFonts w:ascii="Arial" w:eastAsia="Times New Roman" w:hAnsi="Arial" w:cs="Arial"/>
          <w:b/>
          <w:snapToGrid w:val="0"/>
          <w:sz w:val="40"/>
          <w:szCs w:val="40"/>
          <w:lang w:val="en-GB"/>
        </w:rPr>
        <w:t xml:space="preserve"> - 2020</w:t>
      </w:r>
    </w:p>
    <w:p w:rsidR="008F3244" w:rsidRPr="008F3244" w:rsidRDefault="008F3244" w:rsidP="008F3244">
      <w:pPr>
        <w:spacing w:before="100" w:beforeAutospacing="1" w:after="100" w:afterAutospacing="1" w:line="240" w:lineRule="auto"/>
        <w:ind w:left="720" w:hanging="720"/>
        <w:jc w:val="both"/>
        <w:outlineLvl w:val="0"/>
        <w:rPr>
          <w:rFonts w:ascii="Arial" w:hAnsi="Arial" w:cs="Arial"/>
          <w:b/>
          <w:sz w:val="40"/>
          <w:szCs w:val="40"/>
        </w:rPr>
      </w:pPr>
      <w:r w:rsidRPr="008F3244">
        <w:rPr>
          <w:rFonts w:ascii="Arial" w:hAnsi="Arial" w:cs="Arial"/>
          <w:b/>
          <w:sz w:val="40"/>
          <w:szCs w:val="40"/>
        </w:rPr>
        <w:t>2585.</w:t>
      </w:r>
      <w:r w:rsidRPr="008F3244">
        <w:rPr>
          <w:rFonts w:ascii="Arial" w:hAnsi="Arial" w:cs="Arial"/>
          <w:b/>
          <w:sz w:val="40"/>
          <w:szCs w:val="40"/>
        </w:rPr>
        <w:tab/>
        <w:t xml:space="preserve">Ms L </w:t>
      </w:r>
      <w:proofErr w:type="spellStart"/>
      <w:r w:rsidRPr="008F3244">
        <w:rPr>
          <w:rFonts w:ascii="Arial" w:hAnsi="Arial" w:cs="Arial"/>
          <w:b/>
          <w:sz w:val="40"/>
          <w:szCs w:val="40"/>
        </w:rPr>
        <w:t>L</w:t>
      </w:r>
      <w:proofErr w:type="spellEnd"/>
      <w:r w:rsidRPr="008F3244">
        <w:rPr>
          <w:rFonts w:ascii="Arial" w:hAnsi="Arial" w:cs="Arial"/>
          <w:b/>
          <w:sz w:val="40"/>
          <w:szCs w:val="40"/>
        </w:rPr>
        <w:t xml:space="preserve"> van </w:t>
      </w:r>
      <w:proofErr w:type="spellStart"/>
      <w:r w:rsidRPr="008F3244">
        <w:rPr>
          <w:rFonts w:ascii="Arial" w:hAnsi="Arial" w:cs="Arial"/>
          <w:b/>
          <w:sz w:val="40"/>
          <w:szCs w:val="40"/>
        </w:rPr>
        <w:t>der</w:t>
      </w:r>
      <w:proofErr w:type="spellEnd"/>
      <w:r w:rsidRPr="008F3244">
        <w:rPr>
          <w:rFonts w:ascii="Arial" w:hAnsi="Arial" w:cs="Arial"/>
          <w:b/>
          <w:sz w:val="40"/>
          <w:szCs w:val="40"/>
        </w:rPr>
        <w:t xml:space="preserve"> </w:t>
      </w:r>
      <w:proofErr w:type="spellStart"/>
      <w:r w:rsidRPr="008F3244">
        <w:rPr>
          <w:rFonts w:ascii="Arial" w:hAnsi="Arial" w:cs="Arial"/>
          <w:b/>
          <w:sz w:val="40"/>
          <w:szCs w:val="40"/>
        </w:rPr>
        <w:t>Merwe</w:t>
      </w:r>
      <w:proofErr w:type="spellEnd"/>
      <w:r w:rsidRPr="008F3244">
        <w:rPr>
          <w:rFonts w:ascii="Arial" w:hAnsi="Arial" w:cs="Arial"/>
          <w:b/>
          <w:sz w:val="40"/>
          <w:szCs w:val="40"/>
        </w:rPr>
        <w:t xml:space="preserve"> (IFP) to ask the Minister of Social Development</w:t>
      </w:r>
      <w:r w:rsidR="00F2310B" w:rsidRPr="008F3244">
        <w:rPr>
          <w:rFonts w:ascii="Arial" w:hAnsi="Arial" w:cs="Arial"/>
          <w:b/>
          <w:sz w:val="40"/>
          <w:szCs w:val="40"/>
        </w:rPr>
        <w:fldChar w:fldCharType="begin"/>
      </w:r>
      <w:r w:rsidRPr="008F3244">
        <w:rPr>
          <w:rFonts w:ascii="Arial" w:hAnsi="Arial" w:cs="Arial"/>
          <w:sz w:val="40"/>
          <w:szCs w:val="40"/>
        </w:rPr>
        <w:instrText xml:space="preserve"> XE "</w:instrText>
      </w:r>
      <w:r w:rsidRPr="008F3244">
        <w:rPr>
          <w:rFonts w:ascii="Arial" w:eastAsia="Times New Roman" w:hAnsi="Arial" w:cs="Arial"/>
          <w:b/>
          <w:sz w:val="40"/>
          <w:szCs w:val="40"/>
          <w:lang w:val="en-US"/>
        </w:rPr>
        <w:instrText>Social Development</w:instrText>
      </w:r>
      <w:r w:rsidRPr="008F3244">
        <w:rPr>
          <w:rFonts w:ascii="Arial" w:hAnsi="Arial" w:cs="Arial"/>
          <w:sz w:val="40"/>
          <w:szCs w:val="40"/>
        </w:rPr>
        <w:instrText xml:space="preserve">" </w:instrText>
      </w:r>
      <w:r w:rsidR="00F2310B" w:rsidRPr="008F3244">
        <w:rPr>
          <w:rFonts w:ascii="Arial" w:hAnsi="Arial" w:cs="Arial"/>
          <w:b/>
          <w:sz w:val="40"/>
          <w:szCs w:val="40"/>
        </w:rPr>
        <w:fldChar w:fldCharType="end"/>
      </w:r>
      <w:r w:rsidRPr="008F3244">
        <w:rPr>
          <w:rFonts w:ascii="Arial" w:hAnsi="Arial" w:cs="Arial"/>
          <w:b/>
          <w:sz w:val="40"/>
          <w:szCs w:val="40"/>
        </w:rPr>
        <w:t>:</w:t>
      </w:r>
    </w:p>
    <w:p w:rsidR="008F3244" w:rsidRPr="008F3244" w:rsidRDefault="008F3244" w:rsidP="008F3244">
      <w:pPr>
        <w:spacing w:before="100" w:beforeAutospacing="1" w:after="100" w:afterAutospacing="1" w:line="240" w:lineRule="auto"/>
        <w:ind w:left="1440" w:hanging="720"/>
        <w:jc w:val="both"/>
        <w:rPr>
          <w:rFonts w:ascii="Arial" w:hAnsi="Arial" w:cs="Arial"/>
          <w:sz w:val="40"/>
          <w:szCs w:val="40"/>
        </w:rPr>
      </w:pPr>
      <w:r w:rsidRPr="008F3244">
        <w:rPr>
          <w:rFonts w:ascii="Arial" w:hAnsi="Arial" w:cs="Arial"/>
          <w:sz w:val="40"/>
          <w:szCs w:val="40"/>
        </w:rPr>
        <w:t>(1)</w:t>
      </w:r>
      <w:r w:rsidRPr="008F3244">
        <w:rPr>
          <w:rFonts w:ascii="Arial" w:hAnsi="Arial" w:cs="Arial"/>
          <w:sz w:val="40"/>
          <w:szCs w:val="40"/>
        </w:rPr>
        <w:tab/>
        <w:t xml:space="preserve">With reference to the Non-Profit Organisation Financing Report (details furnished), what (a) plans does the Government have in place to rehabilitate the social services and care that was being subsidised prior to the onset of the pandemic, (b) are the reasons that the poorest provinces are the last to the </w:t>
      </w:r>
      <w:r w:rsidRPr="00B5145C">
        <w:rPr>
          <w:rFonts w:ascii="Arial" w:hAnsi="Arial" w:cs="Arial"/>
          <w:sz w:val="40"/>
          <w:szCs w:val="40"/>
        </w:rPr>
        <w:t>feeding</w:t>
      </w:r>
      <w:r w:rsidRPr="008F3244">
        <w:rPr>
          <w:rFonts w:ascii="Arial" w:hAnsi="Arial" w:cs="Arial"/>
          <w:sz w:val="40"/>
          <w:szCs w:val="40"/>
        </w:rPr>
        <w:t xml:space="preserve"> through such as the Eastern Cape, Limpopo, the North West and Mpumalanga feature prominently as areas of (i) perennial funding delays and (ii) </w:t>
      </w:r>
      <w:r w:rsidRPr="008F3244">
        <w:rPr>
          <w:rFonts w:ascii="Arial" w:hAnsi="Arial" w:cs="Arial"/>
          <w:sz w:val="40"/>
          <w:szCs w:val="40"/>
        </w:rPr>
        <w:lastRenderedPageBreak/>
        <w:t>funding withdrawal and (c) are the reasons that her department make decisions that affect vulnerable lives without adequate information sharing and/or consultation with those affected to ensure that the dignity, health and lives of the contingent remain protected considering that many of the decisions to withdraw funding, even before the pandemic, have been made unilateral by her department;</w:t>
      </w:r>
    </w:p>
    <w:p w:rsidR="008F3244" w:rsidRDefault="003A0250" w:rsidP="008F3244">
      <w:pPr>
        <w:spacing w:before="100" w:beforeAutospacing="1" w:after="100" w:afterAutospacing="1" w:line="240" w:lineRule="auto"/>
        <w:ind w:left="1440" w:hanging="720"/>
        <w:jc w:val="both"/>
        <w:rPr>
          <w:rFonts w:ascii="Arial" w:hAnsi="Arial" w:cs="Arial"/>
          <w:sz w:val="40"/>
          <w:szCs w:val="40"/>
        </w:rPr>
      </w:pPr>
      <w:r>
        <w:rPr>
          <w:rFonts w:ascii="Arial" w:hAnsi="Arial" w:cs="Arial"/>
          <w:sz w:val="40"/>
          <w:szCs w:val="40"/>
        </w:rPr>
        <w:t>(2)</w:t>
      </w:r>
      <w:r>
        <w:rPr>
          <w:rFonts w:ascii="Arial" w:hAnsi="Arial" w:cs="Arial"/>
          <w:sz w:val="40"/>
          <w:szCs w:val="40"/>
        </w:rPr>
        <w:tab/>
        <w:t>whether her depart</w:t>
      </w:r>
      <w:r w:rsidR="008F3244" w:rsidRPr="008F3244">
        <w:rPr>
          <w:rFonts w:ascii="Arial" w:hAnsi="Arial" w:cs="Arial"/>
          <w:sz w:val="40"/>
          <w:szCs w:val="40"/>
        </w:rPr>
        <w:t>ment will be investigating the subsidy cuts and delays; if not, what monitoring mechanisms will be enforced going forward; if so, what sanctions will be meted out regarding uncovered wrongdoing?</w:t>
      </w:r>
      <w:r w:rsidR="008F3244" w:rsidRPr="008F3244">
        <w:rPr>
          <w:rFonts w:ascii="Arial" w:hAnsi="Arial" w:cs="Arial"/>
          <w:sz w:val="40"/>
          <w:szCs w:val="40"/>
        </w:rPr>
        <w:tab/>
      </w:r>
      <w:r w:rsidR="008F3244">
        <w:rPr>
          <w:rFonts w:ascii="Arial" w:hAnsi="Arial" w:cs="Arial"/>
          <w:sz w:val="40"/>
          <w:szCs w:val="40"/>
        </w:rPr>
        <w:tab/>
      </w:r>
      <w:r w:rsidR="008F3244">
        <w:rPr>
          <w:rFonts w:ascii="Arial" w:hAnsi="Arial" w:cs="Arial"/>
          <w:sz w:val="40"/>
          <w:szCs w:val="40"/>
        </w:rPr>
        <w:tab/>
      </w:r>
      <w:r w:rsidR="008F3244" w:rsidRPr="008F3244">
        <w:rPr>
          <w:rFonts w:ascii="Arial" w:hAnsi="Arial" w:cs="Arial"/>
          <w:sz w:val="40"/>
          <w:szCs w:val="40"/>
        </w:rPr>
        <w:t>NW3256E</w:t>
      </w:r>
    </w:p>
    <w:p w:rsidR="003A0250" w:rsidRDefault="003A0250" w:rsidP="003A0250">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3A0250" w:rsidRPr="003A0250" w:rsidRDefault="003A0250" w:rsidP="003A0250">
      <w:pPr>
        <w:pStyle w:val="ListParagraph"/>
        <w:numPr>
          <w:ilvl w:val="0"/>
          <w:numId w:val="21"/>
        </w:numPr>
        <w:spacing w:before="100" w:beforeAutospacing="1" w:after="100" w:afterAutospacing="1" w:line="240" w:lineRule="auto"/>
        <w:jc w:val="both"/>
        <w:rPr>
          <w:rFonts w:ascii="Arial" w:hAnsi="Arial" w:cs="Arial"/>
          <w:color w:val="000000" w:themeColor="text1"/>
          <w:sz w:val="40"/>
          <w:szCs w:val="40"/>
        </w:rPr>
      </w:pPr>
      <w:r w:rsidRPr="003A0250">
        <w:rPr>
          <w:rFonts w:ascii="Arial" w:hAnsi="Arial" w:cs="Arial"/>
          <w:sz w:val="40"/>
          <w:szCs w:val="40"/>
        </w:rPr>
        <w:t xml:space="preserve">(a) </w:t>
      </w:r>
      <w:r w:rsidR="00B50DF0">
        <w:rPr>
          <w:rFonts w:ascii="Arial" w:hAnsi="Arial" w:cs="Arial"/>
          <w:color w:val="000000" w:themeColor="text1"/>
          <w:sz w:val="40"/>
          <w:szCs w:val="40"/>
        </w:rPr>
        <w:t>T</w:t>
      </w:r>
      <w:r w:rsidRPr="003A0250">
        <w:rPr>
          <w:rFonts w:ascii="Arial" w:hAnsi="Arial" w:cs="Arial"/>
          <w:color w:val="000000" w:themeColor="text1"/>
          <w:sz w:val="40"/>
          <w:szCs w:val="40"/>
        </w:rPr>
        <w:t xml:space="preserve">he </w:t>
      </w:r>
      <w:r w:rsidR="00B50DF0">
        <w:rPr>
          <w:rFonts w:ascii="Arial" w:hAnsi="Arial" w:cs="Arial"/>
          <w:color w:val="000000" w:themeColor="text1"/>
          <w:sz w:val="40"/>
          <w:szCs w:val="40"/>
        </w:rPr>
        <w:t>D</w:t>
      </w:r>
      <w:r w:rsidRPr="003A0250">
        <w:rPr>
          <w:rFonts w:ascii="Arial" w:hAnsi="Arial" w:cs="Arial"/>
          <w:color w:val="000000" w:themeColor="text1"/>
          <w:sz w:val="40"/>
          <w:szCs w:val="40"/>
        </w:rPr>
        <w:t>epartment continue</w:t>
      </w:r>
      <w:r w:rsidR="00EF1054">
        <w:rPr>
          <w:rFonts w:ascii="Arial" w:hAnsi="Arial" w:cs="Arial"/>
          <w:color w:val="000000" w:themeColor="text1"/>
          <w:sz w:val="40"/>
          <w:szCs w:val="40"/>
        </w:rPr>
        <w:t>d</w:t>
      </w:r>
      <w:r w:rsidRPr="003A0250">
        <w:rPr>
          <w:rFonts w:ascii="Arial" w:hAnsi="Arial" w:cs="Arial"/>
          <w:color w:val="000000" w:themeColor="text1"/>
          <w:sz w:val="40"/>
          <w:szCs w:val="40"/>
        </w:rPr>
        <w:t xml:space="preserve"> with the payment of subsidies and the ongoing monitoring and support to NPOs</w:t>
      </w:r>
      <w:r w:rsidR="00EF1054">
        <w:rPr>
          <w:rFonts w:ascii="Arial" w:hAnsi="Arial" w:cs="Arial"/>
          <w:color w:val="000000" w:themeColor="text1"/>
          <w:sz w:val="40"/>
          <w:szCs w:val="40"/>
        </w:rPr>
        <w:t xml:space="preserve"> albeit with delays in some provinces </w:t>
      </w:r>
      <w:r w:rsidR="00B61A24">
        <w:rPr>
          <w:rFonts w:ascii="Arial" w:hAnsi="Arial" w:cs="Arial"/>
          <w:color w:val="000000" w:themeColor="text1"/>
          <w:sz w:val="40"/>
          <w:szCs w:val="40"/>
        </w:rPr>
        <w:t xml:space="preserve">which have now </w:t>
      </w:r>
      <w:r w:rsidR="00EF1054">
        <w:rPr>
          <w:rFonts w:ascii="Arial" w:hAnsi="Arial" w:cs="Arial"/>
          <w:color w:val="000000" w:themeColor="text1"/>
          <w:sz w:val="40"/>
          <w:szCs w:val="40"/>
        </w:rPr>
        <w:t>been addressed</w:t>
      </w:r>
      <w:r w:rsidRPr="003A0250">
        <w:rPr>
          <w:rFonts w:ascii="Arial" w:hAnsi="Arial" w:cs="Arial"/>
          <w:color w:val="000000" w:themeColor="text1"/>
          <w:sz w:val="40"/>
          <w:szCs w:val="40"/>
        </w:rPr>
        <w:t xml:space="preserve">. </w:t>
      </w:r>
    </w:p>
    <w:p w:rsidR="003A0250" w:rsidRDefault="003A0250" w:rsidP="003A0250">
      <w:pPr>
        <w:pStyle w:val="ListParagraph"/>
        <w:spacing w:before="100" w:beforeAutospacing="1" w:after="100" w:afterAutospacing="1" w:line="240" w:lineRule="auto"/>
        <w:ind w:left="1440"/>
        <w:jc w:val="both"/>
        <w:rPr>
          <w:rFonts w:ascii="Arial" w:hAnsi="Arial" w:cs="Arial"/>
          <w:sz w:val="40"/>
          <w:szCs w:val="40"/>
        </w:rPr>
      </w:pPr>
    </w:p>
    <w:p w:rsidR="003A0250" w:rsidRDefault="003A0250" w:rsidP="003A0250">
      <w:pPr>
        <w:pStyle w:val="ListParagraph"/>
        <w:spacing w:before="100" w:beforeAutospacing="1" w:after="100" w:afterAutospacing="1" w:line="240" w:lineRule="auto"/>
        <w:ind w:left="1440"/>
        <w:jc w:val="both"/>
        <w:rPr>
          <w:rFonts w:ascii="Arial" w:hAnsi="Arial" w:cs="Arial"/>
          <w:sz w:val="40"/>
          <w:szCs w:val="40"/>
        </w:rPr>
      </w:pPr>
      <w:r>
        <w:rPr>
          <w:rFonts w:ascii="Arial" w:hAnsi="Arial" w:cs="Arial"/>
          <w:sz w:val="40"/>
          <w:szCs w:val="40"/>
        </w:rPr>
        <w:lastRenderedPageBreak/>
        <w:t xml:space="preserve">(b) (i) </w:t>
      </w:r>
      <w:r w:rsidR="00B61A24">
        <w:rPr>
          <w:rFonts w:ascii="Arial" w:hAnsi="Arial" w:cs="Arial"/>
          <w:sz w:val="40"/>
          <w:szCs w:val="40"/>
        </w:rPr>
        <w:t xml:space="preserve">The funding </w:t>
      </w:r>
      <w:r w:rsidRPr="008F3244">
        <w:rPr>
          <w:rFonts w:ascii="Arial" w:hAnsi="Arial" w:cs="Arial"/>
          <w:sz w:val="40"/>
          <w:szCs w:val="40"/>
        </w:rPr>
        <w:t>delays</w:t>
      </w:r>
      <w:r w:rsidRPr="003A0250">
        <w:rPr>
          <w:rFonts w:ascii="Arial" w:hAnsi="Arial" w:cs="Arial"/>
          <w:sz w:val="40"/>
          <w:szCs w:val="40"/>
        </w:rPr>
        <w:t xml:space="preserve"> </w:t>
      </w:r>
      <w:r w:rsidR="00B61A24">
        <w:rPr>
          <w:rFonts w:ascii="Arial" w:hAnsi="Arial" w:cs="Arial"/>
          <w:sz w:val="40"/>
          <w:szCs w:val="40"/>
        </w:rPr>
        <w:t xml:space="preserve">were caused by </w:t>
      </w:r>
      <w:r w:rsidRPr="003A0250">
        <w:rPr>
          <w:rFonts w:ascii="Arial" w:hAnsi="Arial" w:cs="Arial"/>
          <w:sz w:val="40"/>
          <w:szCs w:val="40"/>
        </w:rPr>
        <w:t>technicalities such as migration from BAS to Central Supplier Datab</w:t>
      </w:r>
      <w:r>
        <w:rPr>
          <w:rFonts w:ascii="Arial" w:hAnsi="Arial" w:cs="Arial"/>
          <w:sz w:val="40"/>
          <w:szCs w:val="40"/>
        </w:rPr>
        <w:t>ase, slow network</w:t>
      </w:r>
      <w:r w:rsidR="00B61A24">
        <w:rPr>
          <w:rFonts w:ascii="Arial" w:hAnsi="Arial" w:cs="Arial"/>
          <w:sz w:val="40"/>
          <w:szCs w:val="40"/>
        </w:rPr>
        <w:t xml:space="preserve"> and lock down interruptions in the finalisation of </w:t>
      </w:r>
      <w:r w:rsidRPr="003A0250">
        <w:rPr>
          <w:rFonts w:ascii="Arial" w:hAnsi="Arial" w:cs="Arial"/>
          <w:sz w:val="40"/>
          <w:szCs w:val="40"/>
        </w:rPr>
        <w:t>Service Level Agreements</w:t>
      </w:r>
      <w:r w:rsidR="00B61A24">
        <w:rPr>
          <w:rFonts w:ascii="Arial" w:hAnsi="Arial" w:cs="Arial"/>
          <w:sz w:val="40"/>
          <w:szCs w:val="40"/>
        </w:rPr>
        <w:t xml:space="preserve">, amongst others. All provinces have addressed the delays, with the exception of </w:t>
      </w:r>
      <w:r w:rsidR="00B61A24" w:rsidRPr="003A0250">
        <w:rPr>
          <w:rFonts w:ascii="Arial" w:hAnsi="Arial" w:cs="Arial"/>
          <w:sz w:val="40"/>
          <w:szCs w:val="40"/>
        </w:rPr>
        <w:t>North</w:t>
      </w:r>
      <w:r w:rsidRPr="003A0250">
        <w:rPr>
          <w:rFonts w:ascii="Arial" w:hAnsi="Arial" w:cs="Arial"/>
          <w:sz w:val="40"/>
          <w:szCs w:val="40"/>
        </w:rPr>
        <w:t xml:space="preserve"> West which is still experiencing technicalities with the </w:t>
      </w:r>
      <w:r w:rsidR="00B61A24">
        <w:rPr>
          <w:rFonts w:ascii="Arial" w:hAnsi="Arial" w:cs="Arial"/>
          <w:sz w:val="40"/>
          <w:szCs w:val="40"/>
        </w:rPr>
        <w:t xml:space="preserve">migration to the </w:t>
      </w:r>
      <w:r w:rsidRPr="003A0250">
        <w:rPr>
          <w:rFonts w:ascii="Arial" w:hAnsi="Arial" w:cs="Arial"/>
          <w:sz w:val="40"/>
          <w:szCs w:val="40"/>
        </w:rPr>
        <w:t>Central Supplier Database</w:t>
      </w:r>
      <w:r>
        <w:rPr>
          <w:rFonts w:ascii="Arial" w:hAnsi="Arial" w:cs="Arial"/>
          <w:sz w:val="40"/>
          <w:szCs w:val="40"/>
        </w:rPr>
        <w:t>.</w:t>
      </w:r>
    </w:p>
    <w:p w:rsidR="00985D17" w:rsidRDefault="00985D17" w:rsidP="003A0250">
      <w:pPr>
        <w:pStyle w:val="ListParagraph"/>
        <w:spacing w:before="100" w:beforeAutospacing="1" w:after="100" w:afterAutospacing="1" w:line="240" w:lineRule="auto"/>
        <w:ind w:left="1440"/>
        <w:jc w:val="both"/>
        <w:rPr>
          <w:rFonts w:ascii="Arial" w:hAnsi="Arial" w:cs="Arial"/>
          <w:sz w:val="40"/>
          <w:szCs w:val="40"/>
        </w:rPr>
      </w:pPr>
    </w:p>
    <w:p w:rsidR="003A0250" w:rsidRDefault="003A0250" w:rsidP="003A0250">
      <w:pPr>
        <w:pStyle w:val="ListParagraph"/>
        <w:spacing w:before="100" w:beforeAutospacing="1" w:after="100" w:afterAutospacing="1" w:line="240" w:lineRule="auto"/>
        <w:ind w:left="1440"/>
        <w:jc w:val="both"/>
        <w:rPr>
          <w:rFonts w:ascii="Arial" w:hAnsi="Arial" w:cs="Arial"/>
          <w:sz w:val="40"/>
          <w:szCs w:val="40"/>
        </w:rPr>
      </w:pPr>
      <w:r>
        <w:rPr>
          <w:rFonts w:ascii="Arial" w:hAnsi="Arial" w:cs="Arial"/>
          <w:sz w:val="40"/>
          <w:szCs w:val="40"/>
        </w:rPr>
        <w:t xml:space="preserve">(ii) </w:t>
      </w:r>
      <w:r w:rsidR="00B61A24">
        <w:rPr>
          <w:rFonts w:ascii="Arial" w:hAnsi="Arial" w:cs="Arial"/>
          <w:sz w:val="40"/>
          <w:szCs w:val="40"/>
        </w:rPr>
        <w:t xml:space="preserve">I have not been made aware of any </w:t>
      </w:r>
      <w:r>
        <w:rPr>
          <w:rFonts w:ascii="Arial" w:hAnsi="Arial" w:cs="Arial"/>
          <w:sz w:val="40"/>
          <w:szCs w:val="40"/>
        </w:rPr>
        <w:t>funding withdrawal</w:t>
      </w:r>
      <w:r w:rsidR="00B61A24">
        <w:rPr>
          <w:rFonts w:ascii="Arial" w:hAnsi="Arial" w:cs="Arial"/>
          <w:sz w:val="40"/>
          <w:szCs w:val="40"/>
        </w:rPr>
        <w:t xml:space="preserve"> </w:t>
      </w:r>
      <w:r>
        <w:rPr>
          <w:rFonts w:ascii="Arial" w:hAnsi="Arial" w:cs="Arial"/>
          <w:sz w:val="40"/>
          <w:szCs w:val="40"/>
        </w:rPr>
        <w:t xml:space="preserve">in </w:t>
      </w:r>
      <w:r w:rsidR="00B61A24">
        <w:rPr>
          <w:rFonts w:ascii="Arial" w:hAnsi="Arial" w:cs="Arial"/>
          <w:sz w:val="40"/>
          <w:szCs w:val="40"/>
        </w:rPr>
        <w:t xml:space="preserve">any of the 9 </w:t>
      </w:r>
      <w:r>
        <w:rPr>
          <w:rFonts w:ascii="Arial" w:hAnsi="Arial" w:cs="Arial"/>
          <w:sz w:val="40"/>
          <w:szCs w:val="40"/>
        </w:rPr>
        <w:t xml:space="preserve">provinces.  </w:t>
      </w:r>
    </w:p>
    <w:p w:rsidR="003A0250" w:rsidRDefault="003A0250" w:rsidP="003A0250">
      <w:pPr>
        <w:pStyle w:val="ListParagraph"/>
        <w:spacing w:before="100" w:beforeAutospacing="1" w:after="100" w:afterAutospacing="1" w:line="240" w:lineRule="auto"/>
        <w:ind w:left="1440"/>
        <w:jc w:val="both"/>
        <w:rPr>
          <w:rFonts w:ascii="Arial" w:hAnsi="Arial" w:cs="Arial"/>
          <w:sz w:val="40"/>
          <w:szCs w:val="40"/>
        </w:rPr>
      </w:pPr>
    </w:p>
    <w:p w:rsidR="003A0250" w:rsidRDefault="003A0250" w:rsidP="003A0250">
      <w:pPr>
        <w:pStyle w:val="ListParagraph"/>
        <w:spacing w:before="100" w:beforeAutospacing="1" w:after="100" w:afterAutospacing="1" w:line="240" w:lineRule="auto"/>
        <w:ind w:left="1440"/>
        <w:jc w:val="both"/>
        <w:rPr>
          <w:rFonts w:ascii="Arial" w:hAnsi="Arial" w:cs="Arial"/>
          <w:sz w:val="40"/>
          <w:szCs w:val="40"/>
        </w:rPr>
      </w:pPr>
      <w:r>
        <w:rPr>
          <w:rFonts w:ascii="Arial" w:hAnsi="Arial" w:cs="Arial"/>
          <w:sz w:val="40"/>
          <w:szCs w:val="40"/>
        </w:rPr>
        <w:t>(c) T</w:t>
      </w:r>
      <w:r w:rsidRPr="003A0250">
        <w:rPr>
          <w:rFonts w:ascii="Arial" w:hAnsi="Arial" w:cs="Arial"/>
          <w:sz w:val="40"/>
          <w:szCs w:val="40"/>
        </w:rPr>
        <w:t>he affected Provinces have consulted the relevant NPO network structures on delays and budget cuts soon after it was communicated by the Provincial Treasuries.</w:t>
      </w:r>
    </w:p>
    <w:p w:rsidR="003A0250" w:rsidRPr="003A0250" w:rsidRDefault="003A0250" w:rsidP="003A0250">
      <w:pPr>
        <w:pStyle w:val="ListParagraph"/>
        <w:spacing w:before="100" w:beforeAutospacing="1" w:after="100" w:afterAutospacing="1" w:line="240" w:lineRule="auto"/>
        <w:ind w:left="1440"/>
        <w:jc w:val="both"/>
        <w:rPr>
          <w:rFonts w:ascii="Arial" w:hAnsi="Arial" w:cs="Arial"/>
          <w:sz w:val="40"/>
          <w:szCs w:val="40"/>
        </w:rPr>
      </w:pPr>
    </w:p>
    <w:p w:rsidR="000A6F8E" w:rsidRDefault="00EF1054" w:rsidP="000600E0">
      <w:pPr>
        <w:pStyle w:val="ListParagraph"/>
        <w:numPr>
          <w:ilvl w:val="0"/>
          <w:numId w:val="21"/>
        </w:numPr>
        <w:spacing w:before="100" w:beforeAutospacing="1" w:after="100" w:afterAutospacing="1" w:line="240" w:lineRule="auto"/>
        <w:jc w:val="both"/>
        <w:rPr>
          <w:rFonts w:ascii="Arial" w:hAnsi="Arial" w:cs="Arial"/>
          <w:sz w:val="40"/>
          <w:szCs w:val="40"/>
        </w:rPr>
      </w:pPr>
      <w:r>
        <w:rPr>
          <w:rFonts w:ascii="Arial" w:hAnsi="Arial" w:cs="Arial"/>
          <w:sz w:val="40"/>
          <w:szCs w:val="40"/>
        </w:rPr>
        <w:t xml:space="preserve">Amongst some of the measures to </w:t>
      </w:r>
      <w:r w:rsidR="00B61A24">
        <w:rPr>
          <w:rFonts w:ascii="Arial" w:hAnsi="Arial" w:cs="Arial"/>
          <w:sz w:val="40"/>
          <w:szCs w:val="40"/>
        </w:rPr>
        <w:t xml:space="preserve">expedite the </w:t>
      </w:r>
      <w:r>
        <w:rPr>
          <w:rFonts w:ascii="Arial" w:hAnsi="Arial" w:cs="Arial"/>
          <w:sz w:val="40"/>
          <w:szCs w:val="40"/>
        </w:rPr>
        <w:t xml:space="preserve">payment of NPOs, the </w:t>
      </w:r>
      <w:r w:rsidR="003A0250" w:rsidRPr="003A0250">
        <w:rPr>
          <w:rFonts w:ascii="Arial" w:hAnsi="Arial" w:cs="Arial"/>
          <w:sz w:val="40"/>
          <w:szCs w:val="40"/>
        </w:rPr>
        <w:t xml:space="preserve">department is undertaking a rapid assessment </w:t>
      </w:r>
      <w:r w:rsidR="003A0250">
        <w:rPr>
          <w:rFonts w:ascii="Arial" w:hAnsi="Arial" w:cs="Arial"/>
          <w:sz w:val="40"/>
          <w:szCs w:val="40"/>
        </w:rPr>
        <w:t xml:space="preserve">survey </w:t>
      </w:r>
      <w:r w:rsidR="003A0250" w:rsidRPr="003A0250">
        <w:rPr>
          <w:rFonts w:ascii="Arial" w:hAnsi="Arial" w:cs="Arial"/>
          <w:sz w:val="40"/>
          <w:szCs w:val="40"/>
        </w:rPr>
        <w:t xml:space="preserve">to determine the causes for the delays and to come up with </w:t>
      </w:r>
      <w:r w:rsidR="003A0250" w:rsidRPr="003A0250">
        <w:rPr>
          <w:rFonts w:ascii="Arial" w:hAnsi="Arial" w:cs="Arial"/>
          <w:sz w:val="40"/>
          <w:szCs w:val="40"/>
        </w:rPr>
        <w:lastRenderedPageBreak/>
        <w:t xml:space="preserve">stringent monitoring mechanisms and steps to remedy this situation. The National Department has since stringently monitored progress on NPO payments and taking drastic steps to remedy this situation. </w:t>
      </w:r>
    </w:p>
    <w:p w:rsidR="000A6F8E" w:rsidRDefault="000A6F8E" w:rsidP="00B5145C">
      <w:pPr>
        <w:pStyle w:val="ListParagraph"/>
        <w:spacing w:before="100" w:beforeAutospacing="1" w:after="100" w:afterAutospacing="1" w:line="240" w:lineRule="auto"/>
        <w:ind w:left="1440"/>
        <w:jc w:val="both"/>
        <w:rPr>
          <w:rFonts w:ascii="Arial" w:hAnsi="Arial" w:cs="Arial"/>
          <w:sz w:val="40"/>
          <w:szCs w:val="40"/>
        </w:rPr>
      </w:pPr>
    </w:p>
    <w:p w:rsidR="00146B5E" w:rsidRDefault="00E04A9D" w:rsidP="00B5145C">
      <w:pPr>
        <w:pStyle w:val="ListParagraph"/>
        <w:spacing w:before="100" w:beforeAutospacing="1" w:after="100" w:afterAutospacing="1" w:line="240" w:lineRule="auto"/>
        <w:ind w:left="1440"/>
        <w:jc w:val="both"/>
        <w:rPr>
          <w:rFonts w:ascii="Arial" w:hAnsi="Arial" w:cs="Arial"/>
          <w:sz w:val="40"/>
          <w:szCs w:val="40"/>
        </w:rPr>
      </w:pPr>
      <w:r>
        <w:rPr>
          <w:rFonts w:ascii="Arial" w:hAnsi="Arial" w:cs="Arial"/>
          <w:sz w:val="40"/>
          <w:szCs w:val="40"/>
        </w:rPr>
        <w:t>In addition</w:t>
      </w:r>
      <w:r w:rsidR="00DC63DA">
        <w:rPr>
          <w:rFonts w:ascii="Arial" w:hAnsi="Arial" w:cs="Arial"/>
          <w:sz w:val="40"/>
          <w:szCs w:val="40"/>
        </w:rPr>
        <w:t xml:space="preserve">, the Department has </w:t>
      </w:r>
      <w:r w:rsidR="009B14B1">
        <w:rPr>
          <w:rFonts w:ascii="Arial" w:hAnsi="Arial" w:cs="Arial"/>
          <w:sz w:val="40"/>
          <w:szCs w:val="40"/>
        </w:rPr>
        <w:t xml:space="preserve">sought approval from </w:t>
      </w:r>
      <w:r w:rsidR="003D5E07">
        <w:rPr>
          <w:rFonts w:ascii="Arial" w:hAnsi="Arial" w:cs="Arial"/>
          <w:sz w:val="40"/>
          <w:szCs w:val="40"/>
        </w:rPr>
        <w:t>National Treasury to seek</w:t>
      </w:r>
      <w:r w:rsidR="003D5E07" w:rsidRPr="003D5E07">
        <w:rPr>
          <w:rFonts w:ascii="Arial" w:hAnsi="Arial" w:cs="Arial"/>
          <w:sz w:val="40"/>
          <w:szCs w:val="40"/>
        </w:rPr>
        <w:t xml:space="preserve"> approval to change from a quarterly</w:t>
      </w:r>
      <w:r w:rsidR="00B61A24">
        <w:rPr>
          <w:rFonts w:ascii="Arial" w:hAnsi="Arial" w:cs="Arial"/>
          <w:sz w:val="40"/>
          <w:szCs w:val="40"/>
        </w:rPr>
        <w:t xml:space="preserve"> </w:t>
      </w:r>
      <w:r w:rsidR="003D5E07" w:rsidRPr="003D5E07">
        <w:rPr>
          <w:rFonts w:ascii="Arial" w:hAnsi="Arial" w:cs="Arial"/>
          <w:sz w:val="40"/>
          <w:szCs w:val="40"/>
        </w:rPr>
        <w:t>to a two-tranche payment system to NPO</w:t>
      </w:r>
      <w:r w:rsidR="00EF1054">
        <w:rPr>
          <w:rFonts w:ascii="Arial" w:hAnsi="Arial" w:cs="Arial"/>
          <w:sz w:val="40"/>
          <w:szCs w:val="40"/>
        </w:rPr>
        <w:t>s</w:t>
      </w:r>
      <w:r w:rsidR="003D5E07" w:rsidRPr="003D5E07">
        <w:rPr>
          <w:rFonts w:ascii="Arial" w:hAnsi="Arial" w:cs="Arial"/>
          <w:sz w:val="40"/>
          <w:szCs w:val="40"/>
        </w:rPr>
        <w:t xml:space="preserve"> </w:t>
      </w:r>
      <w:r w:rsidR="009B14B1">
        <w:rPr>
          <w:rFonts w:ascii="Arial" w:hAnsi="Arial" w:cs="Arial"/>
          <w:sz w:val="40"/>
          <w:szCs w:val="40"/>
        </w:rPr>
        <w:t xml:space="preserve">through a </w:t>
      </w:r>
      <w:r w:rsidR="003D5E07" w:rsidRPr="003D5E07">
        <w:rPr>
          <w:rFonts w:ascii="Arial" w:hAnsi="Arial" w:cs="Arial"/>
          <w:sz w:val="40"/>
          <w:szCs w:val="40"/>
        </w:rPr>
        <w:t xml:space="preserve">risk-adjusted differentiated approach </w:t>
      </w:r>
      <w:r>
        <w:rPr>
          <w:rFonts w:ascii="Arial" w:hAnsi="Arial" w:cs="Arial"/>
          <w:sz w:val="40"/>
          <w:szCs w:val="40"/>
        </w:rPr>
        <w:t>that is aimed</w:t>
      </w:r>
      <w:r w:rsidR="00EF1054">
        <w:rPr>
          <w:rFonts w:ascii="Arial" w:hAnsi="Arial" w:cs="Arial"/>
          <w:sz w:val="40"/>
          <w:szCs w:val="40"/>
        </w:rPr>
        <w:t xml:space="preserve"> at reducing</w:t>
      </w:r>
      <w:r w:rsidR="003D5E07" w:rsidRPr="003D5E07">
        <w:rPr>
          <w:rFonts w:ascii="Arial" w:hAnsi="Arial" w:cs="Arial"/>
          <w:sz w:val="40"/>
          <w:szCs w:val="40"/>
        </w:rPr>
        <w:t xml:space="preserve"> administrative burden on the transfer system.</w:t>
      </w:r>
      <w:r w:rsidR="009B14B1">
        <w:rPr>
          <w:rFonts w:ascii="Arial" w:hAnsi="Arial" w:cs="Arial"/>
          <w:sz w:val="40"/>
          <w:szCs w:val="40"/>
        </w:rPr>
        <w:t xml:space="preserve"> </w:t>
      </w:r>
    </w:p>
    <w:p w:rsidR="00146B5E" w:rsidRDefault="00146B5E" w:rsidP="00B5145C">
      <w:pPr>
        <w:pStyle w:val="ListParagraph"/>
        <w:spacing w:before="100" w:beforeAutospacing="1" w:after="100" w:afterAutospacing="1" w:line="240" w:lineRule="auto"/>
        <w:ind w:left="1440"/>
        <w:jc w:val="both"/>
        <w:rPr>
          <w:rFonts w:ascii="Arial" w:hAnsi="Arial" w:cs="Arial"/>
          <w:sz w:val="40"/>
          <w:szCs w:val="40"/>
        </w:rPr>
      </w:pPr>
    </w:p>
    <w:p w:rsidR="000600E0" w:rsidRPr="00B5145C" w:rsidRDefault="00E04A9D" w:rsidP="00B5145C">
      <w:pPr>
        <w:pStyle w:val="ListParagraph"/>
        <w:spacing w:before="100" w:beforeAutospacing="1" w:after="100" w:afterAutospacing="1" w:line="240" w:lineRule="auto"/>
        <w:ind w:left="1440"/>
        <w:jc w:val="both"/>
        <w:rPr>
          <w:rFonts w:ascii="Arial" w:hAnsi="Arial" w:cs="Arial"/>
          <w:sz w:val="40"/>
          <w:szCs w:val="40"/>
        </w:rPr>
      </w:pPr>
      <w:r>
        <w:rPr>
          <w:rFonts w:ascii="Arial" w:hAnsi="Arial" w:cs="Arial"/>
          <w:sz w:val="40"/>
          <w:szCs w:val="40"/>
        </w:rPr>
        <w:t>T</w:t>
      </w:r>
      <w:r w:rsidR="009B14B1" w:rsidRPr="009B14B1">
        <w:rPr>
          <w:rFonts w:ascii="Arial" w:hAnsi="Arial" w:cs="Arial"/>
          <w:sz w:val="40"/>
          <w:szCs w:val="40"/>
        </w:rPr>
        <w:t xml:space="preserve">he two-tranche payment system </w:t>
      </w:r>
      <w:r>
        <w:rPr>
          <w:rFonts w:ascii="Arial" w:hAnsi="Arial" w:cs="Arial"/>
          <w:sz w:val="40"/>
          <w:szCs w:val="40"/>
        </w:rPr>
        <w:t xml:space="preserve">will be </w:t>
      </w:r>
      <w:r w:rsidR="009B14B1" w:rsidRPr="009B14B1">
        <w:rPr>
          <w:rFonts w:ascii="Arial" w:hAnsi="Arial" w:cs="Arial"/>
          <w:sz w:val="40"/>
          <w:szCs w:val="40"/>
        </w:rPr>
        <w:t xml:space="preserve">implemented at the beginning of the </w:t>
      </w:r>
      <w:r w:rsidR="00146B5E">
        <w:rPr>
          <w:rFonts w:ascii="Arial" w:hAnsi="Arial" w:cs="Arial"/>
          <w:sz w:val="40"/>
          <w:szCs w:val="40"/>
        </w:rPr>
        <w:t xml:space="preserve">20210-2022 </w:t>
      </w:r>
      <w:r w:rsidR="009B14B1" w:rsidRPr="009B14B1">
        <w:rPr>
          <w:rFonts w:ascii="Arial" w:hAnsi="Arial" w:cs="Arial"/>
          <w:sz w:val="40"/>
          <w:szCs w:val="40"/>
        </w:rPr>
        <w:t>financial year</w:t>
      </w:r>
      <w:r w:rsidR="00146B5E">
        <w:rPr>
          <w:rFonts w:ascii="Arial" w:hAnsi="Arial" w:cs="Arial"/>
          <w:sz w:val="40"/>
          <w:szCs w:val="40"/>
        </w:rPr>
        <w:t xml:space="preserve">, </w:t>
      </w:r>
      <w:r>
        <w:rPr>
          <w:rFonts w:ascii="Arial" w:hAnsi="Arial" w:cs="Arial"/>
          <w:sz w:val="40"/>
          <w:szCs w:val="40"/>
        </w:rPr>
        <w:t>as</w:t>
      </w:r>
      <w:r w:rsidR="009B14B1" w:rsidRPr="009B14B1">
        <w:rPr>
          <w:rFonts w:ascii="Arial" w:hAnsi="Arial" w:cs="Arial"/>
          <w:sz w:val="40"/>
          <w:szCs w:val="40"/>
        </w:rPr>
        <w:t xml:space="preserve"> it must be incorporated in the department’s beginning of year projections</w:t>
      </w:r>
      <w:r w:rsidR="00EF1054">
        <w:rPr>
          <w:rFonts w:ascii="Arial" w:hAnsi="Arial" w:cs="Arial"/>
          <w:sz w:val="40"/>
          <w:szCs w:val="40"/>
        </w:rPr>
        <w:t xml:space="preserve"> that are</w:t>
      </w:r>
      <w:r w:rsidR="009B14B1" w:rsidRPr="009B14B1">
        <w:rPr>
          <w:rFonts w:ascii="Arial" w:hAnsi="Arial" w:cs="Arial"/>
          <w:sz w:val="40"/>
          <w:szCs w:val="40"/>
        </w:rPr>
        <w:t xml:space="preserve"> submitted in line with section 40(4)(a) of the PFMA.</w:t>
      </w:r>
      <w:r w:rsidR="009B14B1">
        <w:rPr>
          <w:rFonts w:ascii="Arial" w:hAnsi="Arial" w:cs="Arial"/>
          <w:sz w:val="40"/>
          <w:szCs w:val="40"/>
        </w:rPr>
        <w:t xml:space="preserve"> However, for </w:t>
      </w:r>
      <w:r w:rsidR="009B14B1" w:rsidRPr="009B14B1">
        <w:rPr>
          <w:rFonts w:ascii="Arial" w:hAnsi="Arial" w:cs="Arial"/>
          <w:sz w:val="40"/>
          <w:szCs w:val="40"/>
        </w:rPr>
        <w:t xml:space="preserve">the new two-tranche payment system </w:t>
      </w:r>
      <w:r w:rsidR="009B14B1">
        <w:rPr>
          <w:rFonts w:ascii="Arial" w:hAnsi="Arial" w:cs="Arial"/>
          <w:sz w:val="40"/>
          <w:szCs w:val="40"/>
        </w:rPr>
        <w:t xml:space="preserve">to be effective, </w:t>
      </w:r>
      <w:r w:rsidR="00461A7A">
        <w:rPr>
          <w:rFonts w:ascii="Arial" w:hAnsi="Arial" w:cs="Arial"/>
          <w:sz w:val="40"/>
          <w:szCs w:val="40"/>
        </w:rPr>
        <w:t>NPOs need to be compliant as</w:t>
      </w:r>
      <w:r w:rsidR="009B14B1" w:rsidRPr="009B14B1">
        <w:rPr>
          <w:rFonts w:ascii="Arial" w:hAnsi="Arial" w:cs="Arial"/>
          <w:sz w:val="40"/>
          <w:szCs w:val="40"/>
        </w:rPr>
        <w:t xml:space="preserve"> this system runs a risk of either increasing current levels of </w:t>
      </w:r>
      <w:r w:rsidR="009B14B1" w:rsidRPr="009B14B1">
        <w:rPr>
          <w:rFonts w:ascii="Arial" w:hAnsi="Arial" w:cs="Arial"/>
          <w:sz w:val="40"/>
          <w:szCs w:val="40"/>
        </w:rPr>
        <w:lastRenderedPageBreak/>
        <w:t xml:space="preserve">underspending or NPOs keeping large reserve funds </w:t>
      </w:r>
      <w:r>
        <w:rPr>
          <w:rFonts w:ascii="Arial" w:hAnsi="Arial" w:cs="Arial"/>
          <w:sz w:val="40"/>
          <w:szCs w:val="40"/>
        </w:rPr>
        <w:t xml:space="preserve">that are </w:t>
      </w:r>
      <w:r w:rsidR="009B14B1" w:rsidRPr="009B14B1">
        <w:rPr>
          <w:rFonts w:ascii="Arial" w:hAnsi="Arial" w:cs="Arial"/>
          <w:sz w:val="40"/>
          <w:szCs w:val="40"/>
        </w:rPr>
        <w:t>not used at the end of the financial year.</w:t>
      </w:r>
      <w:r w:rsidR="00461A7A">
        <w:rPr>
          <w:rFonts w:ascii="Arial" w:hAnsi="Arial" w:cs="Arial"/>
          <w:sz w:val="40"/>
          <w:szCs w:val="40"/>
        </w:rPr>
        <w:t xml:space="preserve"> </w:t>
      </w:r>
      <w:r w:rsidR="003A0250" w:rsidRPr="003A0250">
        <w:rPr>
          <w:rFonts w:ascii="Arial" w:hAnsi="Arial" w:cs="Arial"/>
          <w:sz w:val="40"/>
          <w:szCs w:val="40"/>
        </w:rPr>
        <w:t xml:space="preserve">To date </w:t>
      </w:r>
      <w:r w:rsidR="000600E0">
        <w:rPr>
          <w:rFonts w:ascii="Arial" w:hAnsi="Arial" w:cs="Arial"/>
          <w:sz w:val="40"/>
          <w:szCs w:val="40"/>
        </w:rPr>
        <w:t>al</w:t>
      </w:r>
      <w:r w:rsidR="003A0250" w:rsidRPr="003A0250">
        <w:rPr>
          <w:rFonts w:ascii="Arial" w:hAnsi="Arial" w:cs="Arial"/>
          <w:sz w:val="40"/>
          <w:szCs w:val="40"/>
        </w:rPr>
        <w:t>most</w:t>
      </w:r>
      <w:r w:rsidR="000600E0">
        <w:rPr>
          <w:rFonts w:ascii="Arial" w:hAnsi="Arial" w:cs="Arial"/>
          <w:sz w:val="40"/>
          <w:szCs w:val="40"/>
        </w:rPr>
        <w:t xml:space="preserve"> all the</w:t>
      </w:r>
      <w:r w:rsidR="003A0250" w:rsidRPr="003A0250">
        <w:rPr>
          <w:rFonts w:ascii="Arial" w:hAnsi="Arial" w:cs="Arial"/>
          <w:sz w:val="40"/>
          <w:szCs w:val="40"/>
        </w:rPr>
        <w:t xml:space="preserve"> Provinces </w:t>
      </w:r>
      <w:r w:rsidR="00EF1054">
        <w:rPr>
          <w:rFonts w:ascii="Arial" w:hAnsi="Arial" w:cs="Arial"/>
          <w:sz w:val="40"/>
          <w:szCs w:val="40"/>
        </w:rPr>
        <w:t xml:space="preserve">have paid up the first and the second quarter payments to eligible organizations that are compliant, thus they </w:t>
      </w:r>
      <w:r w:rsidR="003A0250" w:rsidRPr="003A0250">
        <w:rPr>
          <w:rFonts w:ascii="Arial" w:hAnsi="Arial" w:cs="Arial"/>
          <w:sz w:val="40"/>
          <w:szCs w:val="40"/>
        </w:rPr>
        <w:t>are in line with the payment targets.</w:t>
      </w:r>
      <w:r>
        <w:rPr>
          <w:rFonts w:ascii="Arial" w:hAnsi="Arial" w:cs="Arial"/>
          <w:sz w:val="40"/>
          <w:szCs w:val="40"/>
        </w:rPr>
        <w:t xml:space="preserve"> </w:t>
      </w:r>
      <w:r w:rsidR="000600E0" w:rsidRPr="00B5145C">
        <w:rPr>
          <w:rFonts w:ascii="Arial" w:hAnsi="Arial" w:cs="Arial"/>
          <w:sz w:val="40"/>
          <w:szCs w:val="40"/>
        </w:rPr>
        <w:t xml:space="preserve">For the third quarter, the status of funding is as follows: </w:t>
      </w:r>
    </w:p>
    <w:tbl>
      <w:tblPr>
        <w:tblW w:w="10086" w:type="dxa"/>
        <w:tblInd w:w="-447" w:type="dxa"/>
        <w:tblLayout w:type="fixed"/>
        <w:tblLook w:val="04A0"/>
      </w:tblPr>
      <w:tblGrid>
        <w:gridCol w:w="2574"/>
        <w:gridCol w:w="1764"/>
        <w:gridCol w:w="1998"/>
        <w:gridCol w:w="1732"/>
        <w:gridCol w:w="2018"/>
      </w:tblGrid>
      <w:tr w:rsidR="0073765B" w:rsidRPr="000600E0" w:rsidTr="00D3412E">
        <w:trPr>
          <w:trHeight w:val="60"/>
        </w:trPr>
        <w:tc>
          <w:tcPr>
            <w:tcW w:w="2574" w:type="dxa"/>
            <w:tcBorders>
              <w:top w:val="nil"/>
              <w:left w:val="nil"/>
              <w:bottom w:val="nil"/>
              <w:right w:val="nil"/>
            </w:tcBorders>
            <w:shd w:val="clear" w:color="auto" w:fill="auto"/>
            <w:vAlign w:val="bottom"/>
          </w:tcPr>
          <w:p w:rsidR="000600E0" w:rsidRPr="00B5145C" w:rsidRDefault="000600E0" w:rsidP="000600E0">
            <w:pPr>
              <w:spacing w:after="0" w:line="240" w:lineRule="auto"/>
              <w:rPr>
                <w:rFonts w:ascii="Arial" w:eastAsia="Times New Roman" w:hAnsi="Arial" w:cs="Arial"/>
                <w:b/>
                <w:bCs/>
                <w:color w:val="000000"/>
                <w:sz w:val="40"/>
                <w:szCs w:val="40"/>
                <w:lang w:eastAsia="en-ZA"/>
              </w:rPr>
            </w:pPr>
          </w:p>
        </w:tc>
        <w:tc>
          <w:tcPr>
            <w:tcW w:w="1764" w:type="dxa"/>
            <w:tcBorders>
              <w:top w:val="nil"/>
              <w:left w:val="nil"/>
              <w:bottom w:val="nil"/>
              <w:right w:val="nil"/>
            </w:tcBorders>
            <w:shd w:val="clear" w:color="auto" w:fill="auto"/>
            <w:vAlign w:val="bottom"/>
          </w:tcPr>
          <w:p w:rsidR="000600E0" w:rsidRPr="00B5145C" w:rsidRDefault="000600E0" w:rsidP="000600E0">
            <w:pPr>
              <w:spacing w:after="0" w:line="240" w:lineRule="auto"/>
              <w:rPr>
                <w:rFonts w:ascii="Arial" w:eastAsia="Times New Roman" w:hAnsi="Arial" w:cs="Arial"/>
                <w:b/>
                <w:bCs/>
                <w:color w:val="000000"/>
                <w:sz w:val="40"/>
                <w:szCs w:val="40"/>
                <w:lang w:eastAsia="en-ZA"/>
              </w:rPr>
            </w:pPr>
          </w:p>
        </w:tc>
        <w:tc>
          <w:tcPr>
            <w:tcW w:w="1998" w:type="dxa"/>
            <w:tcBorders>
              <w:top w:val="nil"/>
              <w:left w:val="nil"/>
              <w:bottom w:val="nil"/>
              <w:right w:val="nil"/>
            </w:tcBorders>
            <w:shd w:val="clear" w:color="auto" w:fill="auto"/>
            <w:vAlign w:val="bottom"/>
          </w:tcPr>
          <w:p w:rsidR="000600E0" w:rsidRPr="00B5145C" w:rsidRDefault="000600E0" w:rsidP="000600E0">
            <w:pPr>
              <w:spacing w:after="0" w:line="240" w:lineRule="auto"/>
              <w:rPr>
                <w:rFonts w:ascii="Arial" w:eastAsia="Times New Roman" w:hAnsi="Arial" w:cs="Arial"/>
                <w:b/>
                <w:bCs/>
                <w:color w:val="000000"/>
                <w:sz w:val="40"/>
                <w:szCs w:val="40"/>
                <w:lang w:eastAsia="en-ZA"/>
              </w:rPr>
            </w:pPr>
          </w:p>
        </w:tc>
        <w:tc>
          <w:tcPr>
            <w:tcW w:w="1732" w:type="dxa"/>
            <w:tcBorders>
              <w:top w:val="nil"/>
              <w:left w:val="nil"/>
              <w:bottom w:val="nil"/>
              <w:right w:val="nil"/>
            </w:tcBorders>
            <w:shd w:val="clear" w:color="auto" w:fill="auto"/>
            <w:vAlign w:val="bottom"/>
          </w:tcPr>
          <w:p w:rsidR="000600E0" w:rsidRPr="00B5145C" w:rsidRDefault="000600E0" w:rsidP="000600E0">
            <w:pPr>
              <w:spacing w:after="0" w:line="240" w:lineRule="auto"/>
              <w:rPr>
                <w:rFonts w:ascii="Arial" w:eastAsia="Times New Roman" w:hAnsi="Arial" w:cs="Arial"/>
                <w:b/>
                <w:bCs/>
                <w:color w:val="000000"/>
                <w:sz w:val="40"/>
                <w:szCs w:val="40"/>
                <w:lang w:eastAsia="en-ZA"/>
              </w:rPr>
            </w:pPr>
          </w:p>
        </w:tc>
        <w:tc>
          <w:tcPr>
            <w:tcW w:w="2018" w:type="dxa"/>
            <w:tcBorders>
              <w:top w:val="nil"/>
              <w:left w:val="nil"/>
              <w:bottom w:val="nil"/>
              <w:right w:val="nil"/>
            </w:tcBorders>
            <w:shd w:val="clear" w:color="auto" w:fill="auto"/>
            <w:vAlign w:val="bottom"/>
          </w:tcPr>
          <w:p w:rsidR="000600E0" w:rsidRPr="00B5145C" w:rsidRDefault="000600E0" w:rsidP="000600E0">
            <w:pPr>
              <w:spacing w:after="0" w:line="240" w:lineRule="auto"/>
              <w:rPr>
                <w:rFonts w:ascii="Arial" w:eastAsia="Times New Roman" w:hAnsi="Arial" w:cs="Arial"/>
                <w:b/>
                <w:bCs/>
                <w:color w:val="000000"/>
                <w:sz w:val="40"/>
                <w:szCs w:val="40"/>
                <w:lang w:eastAsia="en-ZA"/>
              </w:rPr>
            </w:pPr>
          </w:p>
        </w:tc>
      </w:tr>
    </w:tbl>
    <w:tbl>
      <w:tblPr>
        <w:tblStyle w:val="TableGrid"/>
        <w:tblW w:w="10743" w:type="dxa"/>
        <w:tblInd w:w="-714" w:type="dxa"/>
        <w:tblLook w:val="04A0"/>
      </w:tblPr>
      <w:tblGrid>
        <w:gridCol w:w="2529"/>
        <w:gridCol w:w="2552"/>
        <w:gridCol w:w="1943"/>
        <w:gridCol w:w="1843"/>
        <w:gridCol w:w="1995"/>
      </w:tblGrid>
      <w:tr w:rsidR="000A6F8E" w:rsidRPr="00A505D8" w:rsidTr="00D3412E">
        <w:trPr>
          <w:trHeight w:val="884"/>
        </w:trPr>
        <w:tc>
          <w:tcPr>
            <w:tcW w:w="2410" w:type="dxa"/>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Name of Province</w:t>
            </w:r>
          </w:p>
        </w:tc>
        <w:tc>
          <w:tcPr>
            <w:tcW w:w="2552" w:type="dxa"/>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 xml:space="preserve">Total </w:t>
            </w:r>
            <w:r w:rsidR="00D3412E">
              <w:rPr>
                <w:rFonts w:ascii="Arial" w:hAnsi="Arial" w:cs="Arial"/>
                <w:sz w:val="40"/>
                <w:szCs w:val="40"/>
              </w:rPr>
              <w:t>No of NPOs Eligible</w:t>
            </w:r>
          </w:p>
        </w:tc>
        <w:tc>
          <w:tcPr>
            <w:tcW w:w="1943" w:type="dxa"/>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Total No of NPOs Paid</w:t>
            </w:r>
          </w:p>
        </w:tc>
        <w:tc>
          <w:tcPr>
            <w:tcW w:w="1843" w:type="dxa"/>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 xml:space="preserve">Total % of NPOs Paid </w:t>
            </w:r>
          </w:p>
        </w:tc>
        <w:tc>
          <w:tcPr>
            <w:tcW w:w="1995" w:type="dxa"/>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Pending NPO Payments</w:t>
            </w:r>
          </w:p>
        </w:tc>
      </w:tr>
      <w:tr w:rsidR="000A6F8E" w:rsidRPr="00A505D8" w:rsidTr="00D3412E">
        <w:trPr>
          <w:trHeight w:val="290"/>
        </w:trPr>
        <w:tc>
          <w:tcPr>
            <w:tcW w:w="2410" w:type="dxa"/>
            <w:noWrap/>
            <w:hideMark/>
          </w:tcPr>
          <w:p w:rsidR="000A6F8E" w:rsidRPr="00B5145C" w:rsidRDefault="00B5145C" w:rsidP="00B6537F">
            <w:pPr>
              <w:jc w:val="both"/>
              <w:rPr>
                <w:rFonts w:ascii="Arial" w:hAnsi="Arial" w:cs="Arial"/>
                <w:sz w:val="40"/>
                <w:szCs w:val="40"/>
              </w:rPr>
            </w:pPr>
            <w:r>
              <w:rPr>
                <w:rFonts w:ascii="Arial" w:hAnsi="Arial" w:cs="Arial"/>
                <w:sz w:val="40"/>
                <w:szCs w:val="40"/>
              </w:rPr>
              <w:t>W</w:t>
            </w:r>
            <w:r w:rsidR="000A6F8E" w:rsidRPr="00B5145C">
              <w:rPr>
                <w:rFonts w:ascii="Arial" w:hAnsi="Arial" w:cs="Arial"/>
                <w:sz w:val="40"/>
                <w:szCs w:val="40"/>
              </w:rPr>
              <w:t xml:space="preserve"> Cape </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1 819</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1 819</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100%</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0</w:t>
            </w:r>
          </w:p>
        </w:tc>
      </w:tr>
      <w:tr w:rsidR="000A6F8E" w:rsidRPr="00A505D8" w:rsidTr="00D3412E">
        <w:trPr>
          <w:trHeight w:val="290"/>
        </w:trPr>
        <w:tc>
          <w:tcPr>
            <w:tcW w:w="2410" w:type="dxa"/>
            <w:noWrap/>
            <w:hideMark/>
          </w:tcPr>
          <w:p w:rsidR="000A6F8E" w:rsidRPr="00B5145C" w:rsidRDefault="00B5145C" w:rsidP="00B6537F">
            <w:pPr>
              <w:jc w:val="both"/>
              <w:rPr>
                <w:rFonts w:ascii="Arial" w:hAnsi="Arial" w:cs="Arial"/>
                <w:sz w:val="40"/>
                <w:szCs w:val="40"/>
              </w:rPr>
            </w:pPr>
            <w:r>
              <w:rPr>
                <w:rFonts w:ascii="Arial" w:hAnsi="Arial" w:cs="Arial"/>
                <w:sz w:val="40"/>
                <w:szCs w:val="40"/>
              </w:rPr>
              <w:t>N</w:t>
            </w:r>
            <w:r w:rsidR="000A6F8E" w:rsidRPr="00B5145C">
              <w:rPr>
                <w:rFonts w:ascii="Arial" w:hAnsi="Arial" w:cs="Arial"/>
                <w:sz w:val="40"/>
                <w:szCs w:val="40"/>
              </w:rPr>
              <w:t xml:space="preserve"> Cape </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1 014</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722</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71%</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292</w:t>
            </w:r>
          </w:p>
        </w:tc>
      </w:tr>
      <w:tr w:rsidR="000A6F8E" w:rsidRPr="00A505D8" w:rsidTr="00D3412E">
        <w:trPr>
          <w:trHeight w:val="290"/>
        </w:trPr>
        <w:tc>
          <w:tcPr>
            <w:tcW w:w="2410"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 xml:space="preserve">Limpopo </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2 917</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2 635</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90%</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282</w:t>
            </w:r>
          </w:p>
        </w:tc>
      </w:tr>
      <w:tr w:rsidR="000A6F8E" w:rsidRPr="00A505D8" w:rsidTr="00D3412E">
        <w:trPr>
          <w:trHeight w:val="290"/>
        </w:trPr>
        <w:tc>
          <w:tcPr>
            <w:tcW w:w="2410"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Gauteng</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3 326</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3 079</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92%</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247</w:t>
            </w:r>
          </w:p>
        </w:tc>
      </w:tr>
      <w:tr w:rsidR="000A6F8E" w:rsidRPr="00A505D8" w:rsidTr="00D3412E">
        <w:trPr>
          <w:trHeight w:val="290"/>
        </w:trPr>
        <w:tc>
          <w:tcPr>
            <w:tcW w:w="2410"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Free State</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1 826</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1 821</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99.70%</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5</w:t>
            </w:r>
          </w:p>
        </w:tc>
      </w:tr>
      <w:tr w:rsidR="000A6F8E" w:rsidRPr="00A505D8" w:rsidTr="00D3412E">
        <w:trPr>
          <w:trHeight w:val="290"/>
        </w:trPr>
        <w:tc>
          <w:tcPr>
            <w:tcW w:w="2410"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 xml:space="preserve">Mpumalanga </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1 713</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1 639</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96%</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74</w:t>
            </w:r>
          </w:p>
        </w:tc>
      </w:tr>
      <w:tr w:rsidR="000A6F8E" w:rsidRPr="00A505D8" w:rsidTr="00D3412E">
        <w:trPr>
          <w:trHeight w:val="290"/>
        </w:trPr>
        <w:tc>
          <w:tcPr>
            <w:tcW w:w="2410" w:type="dxa"/>
            <w:noWrap/>
            <w:hideMark/>
          </w:tcPr>
          <w:p w:rsidR="000A6F8E" w:rsidRPr="00B5145C" w:rsidRDefault="00B5145C" w:rsidP="00B6537F">
            <w:pPr>
              <w:jc w:val="both"/>
              <w:rPr>
                <w:rFonts w:ascii="Arial" w:hAnsi="Arial" w:cs="Arial"/>
                <w:sz w:val="40"/>
                <w:szCs w:val="40"/>
              </w:rPr>
            </w:pPr>
            <w:r>
              <w:rPr>
                <w:rFonts w:ascii="Arial" w:hAnsi="Arial" w:cs="Arial"/>
                <w:sz w:val="40"/>
                <w:szCs w:val="40"/>
              </w:rPr>
              <w:t>E</w:t>
            </w:r>
            <w:r w:rsidR="000A6F8E" w:rsidRPr="00B5145C">
              <w:rPr>
                <w:rFonts w:ascii="Arial" w:hAnsi="Arial" w:cs="Arial"/>
                <w:sz w:val="40"/>
                <w:szCs w:val="40"/>
              </w:rPr>
              <w:t xml:space="preserve"> Cape</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4 029</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4 023</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99%</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6</w:t>
            </w:r>
          </w:p>
        </w:tc>
      </w:tr>
      <w:tr w:rsidR="000A6F8E" w:rsidRPr="00A505D8" w:rsidTr="00D3412E">
        <w:trPr>
          <w:trHeight w:val="290"/>
        </w:trPr>
        <w:tc>
          <w:tcPr>
            <w:tcW w:w="2410" w:type="dxa"/>
            <w:noWrap/>
            <w:hideMark/>
          </w:tcPr>
          <w:p w:rsidR="000A6F8E" w:rsidRPr="00B5145C" w:rsidRDefault="00B5145C" w:rsidP="00B6537F">
            <w:pPr>
              <w:jc w:val="both"/>
              <w:rPr>
                <w:rFonts w:ascii="Arial" w:hAnsi="Arial" w:cs="Arial"/>
                <w:sz w:val="40"/>
                <w:szCs w:val="40"/>
              </w:rPr>
            </w:pPr>
            <w:r>
              <w:rPr>
                <w:rFonts w:ascii="Arial" w:hAnsi="Arial" w:cs="Arial"/>
                <w:sz w:val="40"/>
                <w:szCs w:val="40"/>
              </w:rPr>
              <w:t>KZN</w:t>
            </w:r>
            <w:r w:rsidR="000A6F8E" w:rsidRPr="00B5145C">
              <w:rPr>
                <w:rFonts w:ascii="Arial" w:hAnsi="Arial" w:cs="Arial"/>
                <w:sz w:val="40"/>
                <w:szCs w:val="40"/>
              </w:rPr>
              <w:t xml:space="preserve"> </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3 586</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2 798</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76%</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788</w:t>
            </w:r>
          </w:p>
        </w:tc>
      </w:tr>
      <w:tr w:rsidR="000A6F8E" w:rsidRPr="00A505D8" w:rsidTr="00D3412E">
        <w:trPr>
          <w:trHeight w:val="290"/>
        </w:trPr>
        <w:tc>
          <w:tcPr>
            <w:tcW w:w="2410" w:type="dxa"/>
            <w:noWrap/>
            <w:hideMark/>
          </w:tcPr>
          <w:p w:rsidR="000A6F8E" w:rsidRPr="00B5145C" w:rsidRDefault="00B5145C" w:rsidP="00B6537F">
            <w:pPr>
              <w:jc w:val="both"/>
              <w:rPr>
                <w:rFonts w:ascii="Arial" w:hAnsi="Arial" w:cs="Arial"/>
                <w:sz w:val="40"/>
                <w:szCs w:val="40"/>
              </w:rPr>
            </w:pPr>
            <w:r>
              <w:rPr>
                <w:rFonts w:ascii="Arial" w:hAnsi="Arial" w:cs="Arial"/>
                <w:sz w:val="40"/>
                <w:szCs w:val="40"/>
              </w:rPr>
              <w:t xml:space="preserve">N </w:t>
            </w:r>
            <w:r w:rsidR="000A6F8E" w:rsidRPr="00B5145C">
              <w:rPr>
                <w:rFonts w:ascii="Arial" w:hAnsi="Arial" w:cs="Arial"/>
                <w:sz w:val="40"/>
                <w:szCs w:val="40"/>
              </w:rPr>
              <w:t xml:space="preserve">West </w:t>
            </w:r>
          </w:p>
        </w:tc>
        <w:tc>
          <w:tcPr>
            <w:tcW w:w="2552"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924</w:t>
            </w:r>
          </w:p>
        </w:tc>
        <w:tc>
          <w:tcPr>
            <w:tcW w:w="19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647</w:t>
            </w:r>
          </w:p>
        </w:tc>
        <w:tc>
          <w:tcPr>
            <w:tcW w:w="1843"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70%</w:t>
            </w:r>
          </w:p>
        </w:tc>
        <w:tc>
          <w:tcPr>
            <w:tcW w:w="1995" w:type="dxa"/>
            <w:noWrap/>
            <w:hideMark/>
          </w:tcPr>
          <w:p w:rsidR="000A6F8E" w:rsidRPr="00B5145C" w:rsidRDefault="000A6F8E" w:rsidP="00B6537F">
            <w:pPr>
              <w:jc w:val="both"/>
              <w:rPr>
                <w:rFonts w:ascii="Arial" w:hAnsi="Arial" w:cs="Arial"/>
                <w:sz w:val="40"/>
                <w:szCs w:val="40"/>
              </w:rPr>
            </w:pPr>
            <w:r w:rsidRPr="00B5145C">
              <w:rPr>
                <w:rFonts w:ascii="Arial" w:hAnsi="Arial" w:cs="Arial"/>
                <w:sz w:val="40"/>
                <w:szCs w:val="40"/>
              </w:rPr>
              <w:t>277</w:t>
            </w:r>
          </w:p>
        </w:tc>
      </w:tr>
      <w:tr w:rsidR="000A6F8E" w:rsidRPr="00B6537F" w:rsidTr="00D3412E">
        <w:trPr>
          <w:trHeight w:val="290"/>
        </w:trPr>
        <w:tc>
          <w:tcPr>
            <w:tcW w:w="2410" w:type="dxa"/>
            <w:noWrap/>
            <w:hideMark/>
          </w:tcPr>
          <w:p w:rsidR="000A6F8E" w:rsidRPr="00B5145C" w:rsidRDefault="000A6F8E" w:rsidP="00B6537F">
            <w:pPr>
              <w:jc w:val="both"/>
              <w:rPr>
                <w:rFonts w:ascii="Arial" w:hAnsi="Arial" w:cs="Arial"/>
                <w:b/>
                <w:sz w:val="40"/>
                <w:szCs w:val="40"/>
              </w:rPr>
            </w:pPr>
            <w:r w:rsidRPr="00B5145C">
              <w:rPr>
                <w:rFonts w:ascii="Arial" w:hAnsi="Arial" w:cs="Arial"/>
                <w:b/>
                <w:sz w:val="40"/>
                <w:szCs w:val="40"/>
              </w:rPr>
              <w:t xml:space="preserve">TOTAL </w:t>
            </w:r>
          </w:p>
        </w:tc>
        <w:tc>
          <w:tcPr>
            <w:tcW w:w="2552" w:type="dxa"/>
            <w:noWrap/>
            <w:hideMark/>
          </w:tcPr>
          <w:p w:rsidR="000A6F8E" w:rsidRPr="00B5145C" w:rsidRDefault="000A6F8E" w:rsidP="00B6537F">
            <w:pPr>
              <w:jc w:val="both"/>
              <w:rPr>
                <w:rFonts w:ascii="Arial" w:hAnsi="Arial" w:cs="Arial"/>
                <w:b/>
                <w:sz w:val="40"/>
                <w:szCs w:val="40"/>
              </w:rPr>
            </w:pPr>
            <w:r w:rsidRPr="00B5145C">
              <w:rPr>
                <w:rFonts w:ascii="Arial" w:hAnsi="Arial" w:cs="Arial"/>
                <w:b/>
                <w:sz w:val="40"/>
                <w:szCs w:val="40"/>
              </w:rPr>
              <w:t>21 154</w:t>
            </w:r>
          </w:p>
        </w:tc>
        <w:tc>
          <w:tcPr>
            <w:tcW w:w="1943" w:type="dxa"/>
            <w:noWrap/>
            <w:hideMark/>
          </w:tcPr>
          <w:p w:rsidR="000A6F8E" w:rsidRPr="00B5145C" w:rsidRDefault="000A6F8E" w:rsidP="00B6537F">
            <w:pPr>
              <w:jc w:val="both"/>
              <w:rPr>
                <w:rFonts w:ascii="Arial" w:hAnsi="Arial" w:cs="Arial"/>
                <w:b/>
                <w:sz w:val="40"/>
                <w:szCs w:val="40"/>
              </w:rPr>
            </w:pPr>
            <w:r w:rsidRPr="00B5145C">
              <w:rPr>
                <w:rFonts w:ascii="Arial" w:hAnsi="Arial" w:cs="Arial"/>
                <w:b/>
                <w:sz w:val="40"/>
                <w:szCs w:val="40"/>
              </w:rPr>
              <w:t>19 183</w:t>
            </w:r>
          </w:p>
        </w:tc>
        <w:tc>
          <w:tcPr>
            <w:tcW w:w="1843" w:type="dxa"/>
            <w:noWrap/>
            <w:hideMark/>
          </w:tcPr>
          <w:p w:rsidR="000A6F8E" w:rsidRPr="00B5145C" w:rsidRDefault="000A6F8E" w:rsidP="00B6537F">
            <w:pPr>
              <w:jc w:val="both"/>
              <w:rPr>
                <w:rFonts w:ascii="Arial" w:hAnsi="Arial" w:cs="Arial"/>
                <w:b/>
                <w:sz w:val="40"/>
                <w:szCs w:val="40"/>
              </w:rPr>
            </w:pPr>
            <w:r w:rsidRPr="00B5145C">
              <w:rPr>
                <w:rFonts w:ascii="Arial" w:hAnsi="Arial" w:cs="Arial"/>
                <w:b/>
                <w:sz w:val="40"/>
                <w:szCs w:val="40"/>
              </w:rPr>
              <w:t>91%</w:t>
            </w:r>
          </w:p>
        </w:tc>
        <w:tc>
          <w:tcPr>
            <w:tcW w:w="1995" w:type="dxa"/>
            <w:noWrap/>
            <w:hideMark/>
          </w:tcPr>
          <w:p w:rsidR="000A6F8E" w:rsidRPr="00B5145C" w:rsidRDefault="000A6F8E" w:rsidP="00B6537F">
            <w:pPr>
              <w:jc w:val="both"/>
              <w:rPr>
                <w:rFonts w:ascii="Arial" w:hAnsi="Arial" w:cs="Arial"/>
                <w:b/>
                <w:sz w:val="40"/>
                <w:szCs w:val="40"/>
              </w:rPr>
            </w:pPr>
            <w:r w:rsidRPr="00B5145C">
              <w:rPr>
                <w:rFonts w:ascii="Arial" w:hAnsi="Arial" w:cs="Arial"/>
                <w:b/>
                <w:sz w:val="40"/>
                <w:szCs w:val="40"/>
              </w:rPr>
              <w:t>1 972</w:t>
            </w:r>
          </w:p>
        </w:tc>
      </w:tr>
    </w:tbl>
    <w:tbl>
      <w:tblPr>
        <w:tblW w:w="10086" w:type="dxa"/>
        <w:tblInd w:w="-447" w:type="dxa"/>
        <w:tblLayout w:type="fixed"/>
        <w:tblLook w:val="04A0"/>
      </w:tblPr>
      <w:tblGrid>
        <w:gridCol w:w="2574"/>
        <w:gridCol w:w="1764"/>
        <w:gridCol w:w="1998"/>
        <w:gridCol w:w="1732"/>
        <w:gridCol w:w="2018"/>
      </w:tblGrid>
      <w:tr w:rsidR="0073765B" w:rsidRPr="000600E0" w:rsidTr="00B5145C">
        <w:trPr>
          <w:trHeight w:val="293"/>
        </w:trPr>
        <w:tc>
          <w:tcPr>
            <w:tcW w:w="2574" w:type="dxa"/>
            <w:tcBorders>
              <w:top w:val="nil"/>
              <w:left w:val="nil"/>
              <w:bottom w:val="nil"/>
              <w:right w:val="nil"/>
            </w:tcBorders>
            <w:shd w:val="clear" w:color="auto" w:fill="auto"/>
            <w:noWrap/>
            <w:vAlign w:val="bottom"/>
          </w:tcPr>
          <w:p w:rsidR="000600E0" w:rsidRPr="00B5145C" w:rsidRDefault="000600E0" w:rsidP="000600E0">
            <w:pPr>
              <w:spacing w:after="0" w:line="240" w:lineRule="auto"/>
              <w:rPr>
                <w:rFonts w:ascii="Arial" w:eastAsia="Times New Roman" w:hAnsi="Arial" w:cs="Arial"/>
                <w:color w:val="000000"/>
                <w:sz w:val="40"/>
                <w:szCs w:val="40"/>
                <w:lang w:eastAsia="en-ZA"/>
              </w:rPr>
            </w:pPr>
          </w:p>
        </w:tc>
        <w:tc>
          <w:tcPr>
            <w:tcW w:w="1764" w:type="dxa"/>
            <w:tcBorders>
              <w:top w:val="nil"/>
              <w:left w:val="nil"/>
              <w:bottom w:val="nil"/>
              <w:right w:val="nil"/>
            </w:tcBorders>
            <w:shd w:val="clear" w:color="auto" w:fill="auto"/>
            <w:noWrap/>
            <w:vAlign w:val="bottom"/>
          </w:tcPr>
          <w:p w:rsidR="000600E0" w:rsidRPr="00B5145C" w:rsidRDefault="000600E0" w:rsidP="000600E0">
            <w:pPr>
              <w:spacing w:after="0" w:line="240" w:lineRule="auto"/>
              <w:jc w:val="right"/>
              <w:rPr>
                <w:rFonts w:ascii="Arial" w:eastAsia="Times New Roman" w:hAnsi="Arial" w:cs="Arial"/>
                <w:color w:val="000000"/>
                <w:sz w:val="40"/>
                <w:szCs w:val="40"/>
                <w:lang w:eastAsia="en-ZA"/>
              </w:rPr>
            </w:pPr>
          </w:p>
        </w:tc>
        <w:tc>
          <w:tcPr>
            <w:tcW w:w="1998" w:type="dxa"/>
            <w:tcBorders>
              <w:top w:val="nil"/>
              <w:left w:val="nil"/>
              <w:bottom w:val="nil"/>
              <w:right w:val="nil"/>
            </w:tcBorders>
            <w:shd w:val="clear" w:color="auto" w:fill="auto"/>
            <w:noWrap/>
            <w:vAlign w:val="bottom"/>
          </w:tcPr>
          <w:p w:rsidR="000600E0" w:rsidRPr="00B5145C" w:rsidRDefault="000600E0" w:rsidP="000600E0">
            <w:pPr>
              <w:spacing w:after="0" w:line="240" w:lineRule="auto"/>
              <w:jc w:val="right"/>
              <w:rPr>
                <w:rFonts w:ascii="Arial" w:eastAsia="Times New Roman" w:hAnsi="Arial" w:cs="Arial"/>
                <w:color w:val="000000"/>
                <w:sz w:val="40"/>
                <w:szCs w:val="40"/>
                <w:lang w:eastAsia="en-ZA"/>
              </w:rPr>
            </w:pPr>
          </w:p>
        </w:tc>
        <w:tc>
          <w:tcPr>
            <w:tcW w:w="1732" w:type="dxa"/>
            <w:tcBorders>
              <w:top w:val="nil"/>
              <w:left w:val="nil"/>
              <w:bottom w:val="nil"/>
              <w:right w:val="nil"/>
            </w:tcBorders>
            <w:shd w:val="clear" w:color="auto" w:fill="auto"/>
            <w:noWrap/>
            <w:vAlign w:val="bottom"/>
          </w:tcPr>
          <w:p w:rsidR="000600E0" w:rsidRPr="00B5145C" w:rsidRDefault="000600E0" w:rsidP="000600E0">
            <w:pPr>
              <w:spacing w:after="0" w:line="240" w:lineRule="auto"/>
              <w:jc w:val="right"/>
              <w:rPr>
                <w:rFonts w:ascii="Arial" w:eastAsia="Times New Roman" w:hAnsi="Arial" w:cs="Arial"/>
                <w:color w:val="000000"/>
                <w:sz w:val="40"/>
                <w:szCs w:val="40"/>
                <w:lang w:eastAsia="en-ZA"/>
              </w:rPr>
            </w:pPr>
          </w:p>
        </w:tc>
        <w:tc>
          <w:tcPr>
            <w:tcW w:w="2018" w:type="dxa"/>
            <w:tcBorders>
              <w:top w:val="nil"/>
              <w:left w:val="nil"/>
              <w:bottom w:val="nil"/>
              <w:right w:val="nil"/>
            </w:tcBorders>
            <w:shd w:val="clear" w:color="auto" w:fill="auto"/>
            <w:noWrap/>
            <w:vAlign w:val="bottom"/>
          </w:tcPr>
          <w:p w:rsidR="000600E0" w:rsidRPr="00B5145C" w:rsidRDefault="000600E0" w:rsidP="000600E0">
            <w:pPr>
              <w:spacing w:after="0" w:line="240" w:lineRule="auto"/>
              <w:jc w:val="right"/>
              <w:rPr>
                <w:rFonts w:ascii="Arial" w:eastAsia="Times New Roman" w:hAnsi="Arial" w:cs="Arial"/>
                <w:color w:val="000000"/>
                <w:sz w:val="40"/>
                <w:szCs w:val="40"/>
                <w:lang w:eastAsia="en-ZA"/>
              </w:rPr>
            </w:pPr>
          </w:p>
        </w:tc>
      </w:tr>
    </w:tbl>
    <w:p w:rsidR="00F10CC8" w:rsidRDefault="00154462" w:rsidP="00DA4793">
      <w:pPr>
        <w:spacing w:before="100" w:beforeAutospacing="1" w:after="100" w:afterAutospacing="1"/>
        <w:jc w:val="both"/>
        <w:rPr>
          <w:rFonts w:ascii="Arial" w:hAnsi="Arial" w:cs="Arial"/>
          <w:sz w:val="40"/>
          <w:szCs w:val="40"/>
        </w:rPr>
      </w:pPr>
      <w:r>
        <w:rPr>
          <w:rFonts w:ascii="Arial" w:hAnsi="Arial" w:cs="Arial"/>
          <w:sz w:val="40"/>
          <w:szCs w:val="40"/>
        </w:rPr>
        <w:lastRenderedPageBreak/>
        <w:t xml:space="preserve">For the remaining </w:t>
      </w:r>
      <w:r w:rsidR="003677C7">
        <w:rPr>
          <w:rFonts w:ascii="Arial" w:hAnsi="Arial" w:cs="Arial"/>
          <w:sz w:val="40"/>
          <w:szCs w:val="40"/>
        </w:rPr>
        <w:t xml:space="preserve">1 972 </w:t>
      </w:r>
      <w:r>
        <w:rPr>
          <w:rFonts w:ascii="Arial" w:hAnsi="Arial" w:cs="Arial"/>
          <w:sz w:val="40"/>
          <w:szCs w:val="40"/>
        </w:rPr>
        <w:t xml:space="preserve">NPOs that have not been paid, the reasons are varying, but mainly due to the following: </w:t>
      </w:r>
    </w:p>
    <w:p w:rsidR="00154462" w:rsidRDefault="00154462" w:rsidP="00154462">
      <w:pPr>
        <w:numPr>
          <w:ilvl w:val="0"/>
          <w:numId w:val="22"/>
        </w:numPr>
        <w:spacing w:before="100" w:beforeAutospacing="1" w:after="100" w:afterAutospacing="1"/>
        <w:jc w:val="both"/>
        <w:rPr>
          <w:rFonts w:ascii="Arial" w:hAnsi="Arial" w:cs="Arial"/>
          <w:sz w:val="40"/>
          <w:szCs w:val="40"/>
          <w:lang w:val="en-US"/>
        </w:rPr>
      </w:pPr>
      <w:r>
        <w:rPr>
          <w:rFonts w:ascii="Arial" w:hAnsi="Arial" w:cs="Arial"/>
          <w:sz w:val="40"/>
          <w:szCs w:val="40"/>
          <w:lang w:val="en-US"/>
        </w:rPr>
        <w:t xml:space="preserve"> </w:t>
      </w:r>
      <w:r w:rsidRPr="00154462">
        <w:rPr>
          <w:rFonts w:ascii="Arial" w:hAnsi="Arial" w:cs="Arial"/>
          <w:sz w:val="40"/>
          <w:szCs w:val="40"/>
          <w:lang w:val="en-US"/>
        </w:rPr>
        <w:t>Late submission of claims</w:t>
      </w:r>
      <w:r>
        <w:rPr>
          <w:rFonts w:ascii="Arial" w:hAnsi="Arial" w:cs="Arial"/>
          <w:sz w:val="40"/>
          <w:szCs w:val="40"/>
          <w:lang w:val="en-US"/>
        </w:rPr>
        <w:t xml:space="preserve"> by NPOs. </w:t>
      </w:r>
    </w:p>
    <w:p w:rsidR="00154462" w:rsidRPr="00154462" w:rsidRDefault="00154462" w:rsidP="00154462">
      <w:pPr>
        <w:numPr>
          <w:ilvl w:val="0"/>
          <w:numId w:val="22"/>
        </w:numPr>
        <w:spacing w:before="100" w:beforeAutospacing="1" w:after="100" w:afterAutospacing="1"/>
        <w:jc w:val="both"/>
        <w:rPr>
          <w:rFonts w:ascii="Arial" w:hAnsi="Arial" w:cs="Arial"/>
          <w:sz w:val="40"/>
          <w:szCs w:val="40"/>
          <w:lang w:val="en-US"/>
        </w:rPr>
      </w:pPr>
      <w:r>
        <w:rPr>
          <w:rFonts w:ascii="Arial" w:hAnsi="Arial" w:cs="Arial"/>
          <w:sz w:val="40"/>
          <w:szCs w:val="40"/>
          <w:lang w:val="en-US"/>
        </w:rPr>
        <w:t xml:space="preserve"> Non-compliance by NPOs </w:t>
      </w:r>
    </w:p>
    <w:p w:rsidR="00154462" w:rsidRDefault="00F029D7" w:rsidP="00154462">
      <w:pPr>
        <w:numPr>
          <w:ilvl w:val="0"/>
          <w:numId w:val="22"/>
        </w:numPr>
        <w:spacing w:before="100" w:beforeAutospacing="1" w:after="100" w:afterAutospacing="1"/>
        <w:jc w:val="both"/>
        <w:rPr>
          <w:rFonts w:ascii="Arial" w:hAnsi="Arial" w:cs="Arial"/>
          <w:sz w:val="40"/>
          <w:szCs w:val="40"/>
          <w:lang w:val="en-US"/>
        </w:rPr>
      </w:pPr>
      <w:r>
        <w:rPr>
          <w:rFonts w:ascii="Arial" w:hAnsi="Arial" w:cs="Arial"/>
          <w:sz w:val="40"/>
          <w:szCs w:val="40"/>
          <w:lang w:val="en-US"/>
        </w:rPr>
        <w:t xml:space="preserve"> For</w:t>
      </w:r>
      <w:r w:rsidR="003677C7">
        <w:rPr>
          <w:rFonts w:ascii="Arial" w:hAnsi="Arial" w:cs="Arial"/>
          <w:sz w:val="40"/>
          <w:szCs w:val="40"/>
          <w:lang w:val="en-US"/>
        </w:rPr>
        <w:t xml:space="preserve"> KwaZ</w:t>
      </w:r>
      <w:r>
        <w:rPr>
          <w:rFonts w:ascii="Arial" w:hAnsi="Arial" w:cs="Arial"/>
          <w:sz w:val="40"/>
          <w:szCs w:val="40"/>
          <w:lang w:val="en-US"/>
        </w:rPr>
        <w:t xml:space="preserve">ulu </w:t>
      </w:r>
      <w:r w:rsidR="003677C7">
        <w:rPr>
          <w:rFonts w:ascii="Arial" w:hAnsi="Arial" w:cs="Arial"/>
          <w:sz w:val="40"/>
          <w:szCs w:val="40"/>
          <w:lang w:val="en-US"/>
        </w:rPr>
        <w:t>Natal and Northern Cape, c</w:t>
      </w:r>
      <w:r w:rsidR="00154462" w:rsidRPr="00154462">
        <w:rPr>
          <w:rFonts w:ascii="Arial" w:hAnsi="Arial" w:cs="Arial"/>
          <w:sz w:val="40"/>
          <w:szCs w:val="40"/>
          <w:lang w:val="en-US"/>
        </w:rPr>
        <w:t xml:space="preserve">laims </w:t>
      </w:r>
      <w:r w:rsidR="003677C7">
        <w:rPr>
          <w:rFonts w:ascii="Arial" w:hAnsi="Arial" w:cs="Arial"/>
          <w:sz w:val="40"/>
          <w:szCs w:val="40"/>
          <w:lang w:val="en-US"/>
        </w:rPr>
        <w:t xml:space="preserve">were </w:t>
      </w:r>
      <w:r w:rsidR="00154462" w:rsidRPr="00154462">
        <w:rPr>
          <w:rFonts w:ascii="Arial" w:hAnsi="Arial" w:cs="Arial"/>
          <w:sz w:val="40"/>
          <w:szCs w:val="40"/>
          <w:lang w:val="en-US"/>
        </w:rPr>
        <w:t xml:space="preserve">processed at 50% </w:t>
      </w:r>
      <w:r w:rsidR="004A1F2F">
        <w:rPr>
          <w:rFonts w:ascii="Arial" w:hAnsi="Arial" w:cs="Arial"/>
          <w:sz w:val="40"/>
          <w:szCs w:val="40"/>
          <w:lang w:val="en-US"/>
        </w:rPr>
        <w:t xml:space="preserve">where there </w:t>
      </w:r>
      <w:r w:rsidR="00154462" w:rsidRPr="00154462">
        <w:rPr>
          <w:rFonts w:ascii="Arial" w:hAnsi="Arial" w:cs="Arial"/>
          <w:sz w:val="40"/>
          <w:szCs w:val="40"/>
          <w:lang w:val="en-US"/>
        </w:rPr>
        <w:t xml:space="preserve">was no attendance at Service </w:t>
      </w:r>
      <w:proofErr w:type="spellStart"/>
      <w:r w:rsidR="00154462" w:rsidRPr="00154462">
        <w:rPr>
          <w:rFonts w:ascii="Arial" w:hAnsi="Arial" w:cs="Arial"/>
          <w:sz w:val="40"/>
          <w:szCs w:val="40"/>
          <w:lang w:val="en-US"/>
        </w:rPr>
        <w:t>Centres</w:t>
      </w:r>
      <w:proofErr w:type="spellEnd"/>
      <w:r w:rsidR="004A1F2F">
        <w:rPr>
          <w:rFonts w:ascii="Arial" w:hAnsi="Arial" w:cs="Arial"/>
          <w:sz w:val="40"/>
          <w:szCs w:val="40"/>
          <w:lang w:val="en-US"/>
        </w:rPr>
        <w:t>.</w:t>
      </w:r>
      <w:r w:rsidR="00154462" w:rsidRPr="00154462">
        <w:rPr>
          <w:rFonts w:ascii="Arial" w:hAnsi="Arial" w:cs="Arial"/>
          <w:sz w:val="40"/>
          <w:szCs w:val="40"/>
          <w:lang w:val="en-US"/>
        </w:rPr>
        <w:t xml:space="preserve"> </w:t>
      </w:r>
    </w:p>
    <w:p w:rsidR="000A6F8E" w:rsidRDefault="005C6D80" w:rsidP="00B5145C">
      <w:pPr>
        <w:pStyle w:val="ListParagraph"/>
        <w:numPr>
          <w:ilvl w:val="0"/>
          <w:numId w:val="23"/>
        </w:numPr>
        <w:spacing w:after="0" w:line="240" w:lineRule="auto"/>
        <w:jc w:val="both"/>
        <w:rPr>
          <w:rFonts w:ascii="Arial" w:hAnsi="Arial" w:cs="Arial"/>
          <w:sz w:val="40"/>
          <w:szCs w:val="40"/>
          <w:lang w:val="en-US"/>
        </w:rPr>
      </w:pPr>
      <w:r>
        <w:rPr>
          <w:rFonts w:ascii="Arial" w:hAnsi="Arial" w:cs="Arial"/>
          <w:sz w:val="40"/>
          <w:szCs w:val="40"/>
          <w:lang w:val="en-US"/>
        </w:rPr>
        <w:t xml:space="preserve"> For Gauteng, </w:t>
      </w:r>
      <w:r w:rsidR="000A6F8E">
        <w:rPr>
          <w:rFonts w:ascii="Arial" w:hAnsi="Arial" w:cs="Arial"/>
          <w:sz w:val="40"/>
          <w:szCs w:val="40"/>
          <w:lang w:val="en-US"/>
        </w:rPr>
        <w:t>s</w:t>
      </w:r>
      <w:proofErr w:type="spellStart"/>
      <w:r w:rsidR="000A6F8E">
        <w:rPr>
          <w:rFonts w:ascii="Arial" w:eastAsia="Times New Roman" w:hAnsi="Arial" w:cs="Arial"/>
          <w:snapToGrid w:val="0"/>
          <w:color w:val="000000"/>
          <w:sz w:val="40"/>
          <w:szCs w:val="40"/>
          <w:lang w:val="en-GB"/>
        </w:rPr>
        <w:t>pecific</w:t>
      </w:r>
      <w:proofErr w:type="spellEnd"/>
      <w:r w:rsidR="000A6F8E">
        <w:rPr>
          <w:rFonts w:ascii="Arial" w:eastAsia="Times New Roman" w:hAnsi="Arial" w:cs="Arial"/>
          <w:snapToGrid w:val="0"/>
          <w:color w:val="000000"/>
          <w:sz w:val="40"/>
          <w:szCs w:val="40"/>
          <w:lang w:val="en-GB"/>
        </w:rPr>
        <w:t xml:space="preserve"> delays relate to payment of ECDs,</w:t>
      </w:r>
      <w:r w:rsidR="000A6F8E" w:rsidRPr="00E56A84">
        <w:rPr>
          <w:rFonts w:ascii="Arial" w:eastAsia="Times New Roman" w:hAnsi="Arial" w:cs="Arial"/>
          <w:snapToGrid w:val="0"/>
          <w:color w:val="000000"/>
          <w:sz w:val="40"/>
          <w:szCs w:val="40"/>
          <w:lang w:val="en-GB"/>
        </w:rPr>
        <w:t xml:space="preserve"> </w:t>
      </w:r>
      <w:r w:rsidR="000A6F8E">
        <w:rPr>
          <w:rFonts w:ascii="Arial" w:eastAsia="Times New Roman" w:hAnsi="Arial" w:cs="Arial"/>
          <w:snapToGrid w:val="0"/>
          <w:color w:val="000000"/>
          <w:sz w:val="40"/>
          <w:szCs w:val="40"/>
          <w:lang w:val="en-GB"/>
        </w:rPr>
        <w:t xml:space="preserve">particularly in </w:t>
      </w:r>
      <w:r w:rsidR="000A6F8E" w:rsidRPr="00E56A84">
        <w:rPr>
          <w:rFonts w:ascii="Arial" w:eastAsia="Times New Roman" w:hAnsi="Arial" w:cs="Arial"/>
          <w:snapToGrid w:val="0"/>
          <w:color w:val="000000"/>
          <w:sz w:val="40"/>
          <w:szCs w:val="40"/>
          <w:lang w:val="en-GB"/>
        </w:rPr>
        <w:t xml:space="preserve">Tshwane </w:t>
      </w:r>
      <w:r w:rsidR="000A6F8E">
        <w:rPr>
          <w:rFonts w:ascii="Arial" w:eastAsia="Times New Roman" w:hAnsi="Arial" w:cs="Arial"/>
          <w:snapToGrid w:val="0"/>
          <w:color w:val="000000"/>
          <w:sz w:val="40"/>
          <w:szCs w:val="40"/>
          <w:lang w:val="en-GB"/>
        </w:rPr>
        <w:t xml:space="preserve">which </w:t>
      </w:r>
      <w:r w:rsidR="000A6F8E" w:rsidRPr="00E56A84">
        <w:rPr>
          <w:rFonts w:ascii="Arial" w:eastAsia="Times New Roman" w:hAnsi="Arial" w:cs="Arial"/>
          <w:snapToGrid w:val="0"/>
          <w:color w:val="000000"/>
          <w:sz w:val="40"/>
          <w:szCs w:val="40"/>
          <w:lang w:val="en-GB"/>
        </w:rPr>
        <w:t>has been identified as having challenges due to changes in the municipal</w:t>
      </w:r>
      <w:r w:rsidR="000A6F8E">
        <w:rPr>
          <w:rFonts w:ascii="Arial" w:eastAsia="Times New Roman" w:hAnsi="Arial" w:cs="Arial"/>
          <w:snapToGrid w:val="0"/>
          <w:color w:val="000000"/>
          <w:sz w:val="40"/>
          <w:szCs w:val="40"/>
          <w:lang w:val="en-GB"/>
        </w:rPr>
        <w:t xml:space="preserve"> by-law. This</w:t>
      </w:r>
      <w:r w:rsidR="000A6F8E" w:rsidRPr="00E56A84">
        <w:rPr>
          <w:rFonts w:ascii="Arial" w:eastAsia="Times New Roman" w:hAnsi="Arial" w:cs="Arial"/>
          <w:snapToGrid w:val="0"/>
          <w:color w:val="000000"/>
          <w:sz w:val="40"/>
          <w:szCs w:val="40"/>
          <w:lang w:val="en-GB"/>
        </w:rPr>
        <w:t xml:space="preserve"> is a matter that continues to receive attention both nationally and at the Province.</w:t>
      </w:r>
      <w:r w:rsidR="000A6F8E">
        <w:rPr>
          <w:rFonts w:ascii="Arial" w:hAnsi="Arial" w:cs="Arial"/>
          <w:sz w:val="40"/>
          <w:szCs w:val="40"/>
          <w:lang w:val="en-US"/>
        </w:rPr>
        <w:t xml:space="preserve"> </w:t>
      </w:r>
    </w:p>
    <w:p w:rsidR="000A6F8E" w:rsidRDefault="000A6F8E" w:rsidP="00B5145C">
      <w:pPr>
        <w:pStyle w:val="ListParagraph"/>
        <w:spacing w:after="0" w:line="240" w:lineRule="auto"/>
        <w:jc w:val="both"/>
        <w:rPr>
          <w:rFonts w:ascii="Arial" w:hAnsi="Arial" w:cs="Arial"/>
          <w:sz w:val="40"/>
          <w:szCs w:val="40"/>
          <w:lang w:val="en-US"/>
        </w:rPr>
      </w:pPr>
    </w:p>
    <w:p w:rsidR="00154462" w:rsidRPr="00154462" w:rsidRDefault="000A6F8E" w:rsidP="00B5145C">
      <w:pPr>
        <w:pStyle w:val="ListParagraph"/>
        <w:numPr>
          <w:ilvl w:val="0"/>
          <w:numId w:val="23"/>
        </w:numPr>
        <w:spacing w:after="0" w:line="240" w:lineRule="auto"/>
        <w:jc w:val="both"/>
        <w:rPr>
          <w:rFonts w:ascii="Arial" w:hAnsi="Arial" w:cs="Arial"/>
          <w:sz w:val="40"/>
          <w:szCs w:val="40"/>
          <w:lang w:val="en-US"/>
        </w:rPr>
      </w:pPr>
      <w:r>
        <w:rPr>
          <w:rFonts w:ascii="Arial" w:hAnsi="Arial" w:cs="Arial"/>
          <w:sz w:val="40"/>
          <w:szCs w:val="40"/>
          <w:lang w:val="en-US"/>
        </w:rPr>
        <w:t>For other provinces, i</w:t>
      </w:r>
      <w:r w:rsidR="004841D3">
        <w:rPr>
          <w:rFonts w:ascii="Arial" w:hAnsi="Arial" w:cs="Arial"/>
          <w:sz w:val="40"/>
          <w:szCs w:val="40"/>
          <w:lang w:val="en-US"/>
        </w:rPr>
        <w:t xml:space="preserve">n relation to ECD, </w:t>
      </w:r>
      <w:r w:rsidR="00154462" w:rsidRPr="00154462">
        <w:rPr>
          <w:rFonts w:ascii="Arial" w:hAnsi="Arial" w:cs="Arial"/>
          <w:sz w:val="40"/>
          <w:szCs w:val="40"/>
          <w:lang w:val="en-US"/>
        </w:rPr>
        <w:t>the province</w:t>
      </w:r>
      <w:r w:rsidR="004A1F2F">
        <w:rPr>
          <w:rFonts w:ascii="Arial" w:hAnsi="Arial" w:cs="Arial"/>
          <w:sz w:val="40"/>
          <w:szCs w:val="40"/>
          <w:lang w:val="en-US"/>
        </w:rPr>
        <w:t>s are</w:t>
      </w:r>
      <w:r w:rsidR="00154462" w:rsidRPr="00154462">
        <w:rPr>
          <w:rFonts w:ascii="Arial" w:hAnsi="Arial" w:cs="Arial"/>
          <w:sz w:val="40"/>
          <w:szCs w:val="40"/>
          <w:lang w:val="en-US"/>
        </w:rPr>
        <w:t xml:space="preserve"> implementing a special project on payment of outstanding </w:t>
      </w:r>
      <w:r w:rsidR="004A1F2F">
        <w:rPr>
          <w:rFonts w:ascii="Arial" w:hAnsi="Arial" w:cs="Arial"/>
          <w:sz w:val="40"/>
          <w:szCs w:val="40"/>
          <w:lang w:val="en-US"/>
        </w:rPr>
        <w:t>subsidies in compliance with the</w:t>
      </w:r>
      <w:r w:rsidR="00154462" w:rsidRPr="00154462">
        <w:rPr>
          <w:rFonts w:ascii="Arial" w:hAnsi="Arial" w:cs="Arial"/>
          <w:sz w:val="40"/>
          <w:szCs w:val="40"/>
          <w:lang w:val="en-US"/>
        </w:rPr>
        <w:t xml:space="preserve"> SA CHILDCARE (PTY) LTD &amp; OTHERS High Court Judgement handed on 20 October 2020</w:t>
      </w:r>
      <w:r w:rsidR="004A1F2F">
        <w:rPr>
          <w:rFonts w:ascii="Arial" w:hAnsi="Arial" w:cs="Arial"/>
          <w:sz w:val="40"/>
          <w:szCs w:val="40"/>
          <w:lang w:val="en-US"/>
        </w:rPr>
        <w:t>.</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F231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92" w:rsidRDefault="00E35C92">
      <w:pPr>
        <w:spacing w:after="0" w:line="240" w:lineRule="auto"/>
      </w:pPr>
      <w:r>
        <w:separator/>
      </w:r>
    </w:p>
  </w:endnote>
  <w:endnote w:type="continuationSeparator" w:id="0">
    <w:p w:rsidR="00E35C92" w:rsidRDefault="00E35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2310B">
        <w:pPr>
          <w:pStyle w:val="Footer"/>
          <w:jc w:val="right"/>
        </w:pPr>
        <w:r>
          <w:fldChar w:fldCharType="begin"/>
        </w:r>
        <w:r w:rsidR="00DA4793">
          <w:instrText xml:space="preserve"> PAGE   \* MERGEFORMAT </w:instrText>
        </w:r>
        <w:r>
          <w:fldChar w:fldCharType="separate"/>
        </w:r>
        <w:r w:rsidR="00905B1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92" w:rsidRDefault="00E35C92">
      <w:pPr>
        <w:spacing w:after="0" w:line="240" w:lineRule="auto"/>
      </w:pPr>
      <w:r>
        <w:separator/>
      </w:r>
    </w:p>
  </w:footnote>
  <w:footnote w:type="continuationSeparator" w:id="0">
    <w:p w:rsidR="00E35C92" w:rsidRDefault="00E35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9761B"/>
    <w:multiLevelType w:val="hybridMultilevel"/>
    <w:tmpl w:val="9C1ED772"/>
    <w:lvl w:ilvl="0" w:tplc="1C09000F">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811F5D"/>
    <w:multiLevelType w:val="hybridMultilevel"/>
    <w:tmpl w:val="E4BCA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280CDD"/>
    <w:multiLevelType w:val="hybridMultilevel"/>
    <w:tmpl w:val="448C43C2"/>
    <w:lvl w:ilvl="0" w:tplc="27820544">
      <w:start w:val="1"/>
      <w:numFmt w:val="decimal"/>
      <w:lvlText w:val="%1."/>
      <w:lvlJc w:val="left"/>
      <w:pPr>
        <w:ind w:left="1080" w:hanging="360"/>
      </w:pPr>
      <w:rPr>
        <w:rFonts w:eastAsiaTheme="minorHAnsi"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46F72A5"/>
    <w:multiLevelType w:val="hybridMultilevel"/>
    <w:tmpl w:val="496C0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E1EA0"/>
    <w:multiLevelType w:val="hybridMultilevel"/>
    <w:tmpl w:val="EF565D56"/>
    <w:lvl w:ilvl="0" w:tplc="4350B1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27327AF"/>
    <w:multiLevelType w:val="hybridMultilevel"/>
    <w:tmpl w:val="11DECB7E"/>
    <w:lvl w:ilvl="0" w:tplc="1C09000F">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326941"/>
    <w:multiLevelType w:val="hybridMultilevel"/>
    <w:tmpl w:val="54EE98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1"/>
  </w:num>
  <w:num w:numId="5">
    <w:abstractNumId w:val="17"/>
  </w:num>
  <w:num w:numId="6">
    <w:abstractNumId w:val="6"/>
  </w:num>
  <w:num w:numId="7">
    <w:abstractNumId w:val="14"/>
  </w:num>
  <w:num w:numId="8">
    <w:abstractNumId w:val="9"/>
  </w:num>
  <w:num w:numId="9">
    <w:abstractNumId w:val="13"/>
  </w:num>
  <w:num w:numId="10">
    <w:abstractNumId w:val="7"/>
  </w:num>
  <w:num w:numId="11">
    <w:abstractNumId w:val="11"/>
  </w:num>
  <w:num w:numId="12">
    <w:abstractNumId w:val="21"/>
  </w:num>
  <w:num w:numId="13">
    <w:abstractNumId w:val="15"/>
  </w:num>
  <w:num w:numId="14">
    <w:abstractNumId w:val="12"/>
  </w:num>
  <w:num w:numId="15">
    <w:abstractNumId w:val="20"/>
  </w:num>
  <w:num w:numId="16">
    <w:abstractNumId w:val="19"/>
  </w:num>
  <w:num w:numId="17">
    <w:abstractNumId w:val="18"/>
  </w:num>
  <w:num w:numId="18">
    <w:abstractNumId w:val="10"/>
  </w:num>
  <w:num w:numId="19">
    <w:abstractNumId w:val="2"/>
  </w:num>
  <w:num w:numId="20">
    <w:abstractNumId w:val="4"/>
  </w:num>
  <w:num w:numId="21">
    <w:abstractNumId w:val="8"/>
  </w:num>
  <w:num w:numId="22">
    <w:abstractNumId w:val="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55ECF"/>
    <w:rsid w:val="000600E0"/>
    <w:rsid w:val="000606D9"/>
    <w:rsid w:val="00066271"/>
    <w:rsid w:val="000707D0"/>
    <w:rsid w:val="0007116F"/>
    <w:rsid w:val="00083B8D"/>
    <w:rsid w:val="00091658"/>
    <w:rsid w:val="0009793F"/>
    <w:rsid w:val="000A6F8E"/>
    <w:rsid w:val="000B3D62"/>
    <w:rsid w:val="000B436B"/>
    <w:rsid w:val="000C1583"/>
    <w:rsid w:val="000C35A9"/>
    <w:rsid w:val="000C6CD9"/>
    <w:rsid w:val="000D465F"/>
    <w:rsid w:val="000D4EA6"/>
    <w:rsid w:val="000E0CBE"/>
    <w:rsid w:val="000E3F6F"/>
    <w:rsid w:val="000F0F7B"/>
    <w:rsid w:val="000F1964"/>
    <w:rsid w:val="000F1F08"/>
    <w:rsid w:val="000F33EF"/>
    <w:rsid w:val="0010155B"/>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46B5E"/>
    <w:rsid w:val="00154462"/>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2377"/>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C7"/>
    <w:rsid w:val="003677F8"/>
    <w:rsid w:val="003733A0"/>
    <w:rsid w:val="00373532"/>
    <w:rsid w:val="00382D1D"/>
    <w:rsid w:val="00390C3B"/>
    <w:rsid w:val="00390DD0"/>
    <w:rsid w:val="003A0250"/>
    <w:rsid w:val="003A46F0"/>
    <w:rsid w:val="003A55A0"/>
    <w:rsid w:val="003B06A7"/>
    <w:rsid w:val="003B2673"/>
    <w:rsid w:val="003B2FF5"/>
    <w:rsid w:val="003B4252"/>
    <w:rsid w:val="003B724D"/>
    <w:rsid w:val="003C142D"/>
    <w:rsid w:val="003C16FC"/>
    <w:rsid w:val="003C2393"/>
    <w:rsid w:val="003C2FF2"/>
    <w:rsid w:val="003C4309"/>
    <w:rsid w:val="003C44B1"/>
    <w:rsid w:val="003D5E07"/>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61A7A"/>
    <w:rsid w:val="00477E8D"/>
    <w:rsid w:val="0048059F"/>
    <w:rsid w:val="00482785"/>
    <w:rsid w:val="004837E7"/>
    <w:rsid w:val="00483E25"/>
    <w:rsid w:val="00484173"/>
    <w:rsid w:val="004841D3"/>
    <w:rsid w:val="004916AB"/>
    <w:rsid w:val="0049183A"/>
    <w:rsid w:val="004952C8"/>
    <w:rsid w:val="004A1F2F"/>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D80"/>
    <w:rsid w:val="005D23BD"/>
    <w:rsid w:val="005D3DDE"/>
    <w:rsid w:val="005D5EBD"/>
    <w:rsid w:val="005D7EF1"/>
    <w:rsid w:val="005E4916"/>
    <w:rsid w:val="005E496D"/>
    <w:rsid w:val="005F0A0D"/>
    <w:rsid w:val="005F2C98"/>
    <w:rsid w:val="00602077"/>
    <w:rsid w:val="006043E8"/>
    <w:rsid w:val="006051BB"/>
    <w:rsid w:val="006139D8"/>
    <w:rsid w:val="00615E45"/>
    <w:rsid w:val="00620A2E"/>
    <w:rsid w:val="00620BB5"/>
    <w:rsid w:val="006221FB"/>
    <w:rsid w:val="00623997"/>
    <w:rsid w:val="00626FD0"/>
    <w:rsid w:val="00630027"/>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3765B"/>
    <w:rsid w:val="00743DFA"/>
    <w:rsid w:val="00747628"/>
    <w:rsid w:val="0075766D"/>
    <w:rsid w:val="0075785A"/>
    <w:rsid w:val="007625A4"/>
    <w:rsid w:val="0076409D"/>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144A"/>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8F3244"/>
    <w:rsid w:val="00905B19"/>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5D17"/>
    <w:rsid w:val="00991148"/>
    <w:rsid w:val="00993894"/>
    <w:rsid w:val="00996871"/>
    <w:rsid w:val="0099694C"/>
    <w:rsid w:val="009A3623"/>
    <w:rsid w:val="009B0C0D"/>
    <w:rsid w:val="009B14B1"/>
    <w:rsid w:val="009B4B43"/>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255CF"/>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733E"/>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A46"/>
    <w:rsid w:val="00B20FC8"/>
    <w:rsid w:val="00B21BC6"/>
    <w:rsid w:val="00B24D20"/>
    <w:rsid w:val="00B30792"/>
    <w:rsid w:val="00B3376F"/>
    <w:rsid w:val="00B40984"/>
    <w:rsid w:val="00B4712D"/>
    <w:rsid w:val="00B50DF0"/>
    <w:rsid w:val="00B5145C"/>
    <w:rsid w:val="00B53024"/>
    <w:rsid w:val="00B55A37"/>
    <w:rsid w:val="00B61A24"/>
    <w:rsid w:val="00B74F1D"/>
    <w:rsid w:val="00B82566"/>
    <w:rsid w:val="00B82C53"/>
    <w:rsid w:val="00B90DCE"/>
    <w:rsid w:val="00B95215"/>
    <w:rsid w:val="00BB0803"/>
    <w:rsid w:val="00BB0CE2"/>
    <w:rsid w:val="00BB0DCB"/>
    <w:rsid w:val="00BB1608"/>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836A7"/>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68A"/>
    <w:rsid w:val="00CF0607"/>
    <w:rsid w:val="00CF2E0E"/>
    <w:rsid w:val="00CF4CE3"/>
    <w:rsid w:val="00CF630D"/>
    <w:rsid w:val="00D065BE"/>
    <w:rsid w:val="00D12A10"/>
    <w:rsid w:val="00D2120F"/>
    <w:rsid w:val="00D33C41"/>
    <w:rsid w:val="00D3412E"/>
    <w:rsid w:val="00D34EFF"/>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C63DA"/>
    <w:rsid w:val="00DD69F1"/>
    <w:rsid w:val="00DD6AF0"/>
    <w:rsid w:val="00DD7FD5"/>
    <w:rsid w:val="00DF142E"/>
    <w:rsid w:val="00DF27C3"/>
    <w:rsid w:val="00DF476E"/>
    <w:rsid w:val="00E00811"/>
    <w:rsid w:val="00E04A9D"/>
    <w:rsid w:val="00E07F82"/>
    <w:rsid w:val="00E10807"/>
    <w:rsid w:val="00E15F95"/>
    <w:rsid w:val="00E21BE6"/>
    <w:rsid w:val="00E30D1D"/>
    <w:rsid w:val="00E35C92"/>
    <w:rsid w:val="00E36AB5"/>
    <w:rsid w:val="00E408E7"/>
    <w:rsid w:val="00E436D1"/>
    <w:rsid w:val="00E46923"/>
    <w:rsid w:val="00E525D3"/>
    <w:rsid w:val="00E527D0"/>
    <w:rsid w:val="00E546E7"/>
    <w:rsid w:val="00E556BF"/>
    <w:rsid w:val="00E57C01"/>
    <w:rsid w:val="00E671B7"/>
    <w:rsid w:val="00E73628"/>
    <w:rsid w:val="00E7400D"/>
    <w:rsid w:val="00E74AD9"/>
    <w:rsid w:val="00E80995"/>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054"/>
    <w:rsid w:val="00EF2494"/>
    <w:rsid w:val="00EF6DD2"/>
    <w:rsid w:val="00F029D7"/>
    <w:rsid w:val="00F04ECE"/>
    <w:rsid w:val="00F067DA"/>
    <w:rsid w:val="00F10CC8"/>
    <w:rsid w:val="00F11371"/>
    <w:rsid w:val="00F15D74"/>
    <w:rsid w:val="00F178BB"/>
    <w:rsid w:val="00F17D24"/>
    <w:rsid w:val="00F21478"/>
    <w:rsid w:val="00F21AFD"/>
    <w:rsid w:val="00F21D6B"/>
    <w:rsid w:val="00F2310B"/>
    <w:rsid w:val="00F265A7"/>
    <w:rsid w:val="00F30443"/>
    <w:rsid w:val="00F33D87"/>
    <w:rsid w:val="00F37E84"/>
    <w:rsid w:val="00F43329"/>
    <w:rsid w:val="00F468FA"/>
    <w:rsid w:val="00F732A3"/>
    <w:rsid w:val="00F759A0"/>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3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22375667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2683-145F-490A-A434-2A03018F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2020-12-21T12:16:00Z</cp:lastPrinted>
  <dcterms:created xsi:type="dcterms:W3CDTF">2021-02-01T11:41:00Z</dcterms:created>
  <dcterms:modified xsi:type="dcterms:W3CDTF">2021-02-01T11:41:00Z</dcterms:modified>
</cp:coreProperties>
</file>