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8ED6D"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33A96835" w14:textId="77777777" w:rsidR="00314530" w:rsidRPr="00BF349B" w:rsidRDefault="00314530" w:rsidP="00F415B7">
      <w:pPr>
        <w:spacing w:after="0" w:line="360" w:lineRule="auto"/>
        <w:jc w:val="both"/>
        <w:rPr>
          <w:rFonts w:ascii="Arial" w:hAnsi="Arial" w:cs="Arial"/>
          <w:sz w:val="24"/>
          <w:szCs w:val="24"/>
        </w:rPr>
      </w:pPr>
    </w:p>
    <w:p w14:paraId="050F8B87" w14:textId="77777777" w:rsidR="00DD4D78" w:rsidRPr="008D19B5" w:rsidRDefault="00732AD7" w:rsidP="00F415B7">
      <w:pPr>
        <w:pStyle w:val="Heading6"/>
        <w:spacing w:before="240" w:line="360" w:lineRule="auto"/>
        <w:rPr>
          <w:rFonts w:cs="Arial"/>
          <w:sz w:val="22"/>
          <w:szCs w:val="22"/>
          <w:u w:val="none"/>
          <w:lang w:val="en-ZA"/>
        </w:rPr>
      </w:pPr>
      <w:r w:rsidRPr="008D19B5">
        <w:rPr>
          <w:rFonts w:cs="Arial"/>
          <w:sz w:val="22"/>
          <w:szCs w:val="22"/>
          <w:u w:val="none"/>
          <w:lang w:val="en-ZA"/>
        </w:rPr>
        <w:t xml:space="preserve">National </w:t>
      </w:r>
      <w:r w:rsidR="00AE290B" w:rsidRPr="008D19B5">
        <w:rPr>
          <w:rFonts w:cs="Arial"/>
          <w:sz w:val="22"/>
          <w:szCs w:val="22"/>
          <w:u w:val="none"/>
          <w:lang w:val="en-ZA"/>
        </w:rPr>
        <w:t>Assembly</w:t>
      </w:r>
    </w:p>
    <w:p w14:paraId="40687E74" w14:textId="77777777" w:rsidR="00B21162" w:rsidRPr="008D19B5" w:rsidRDefault="00DD4D78" w:rsidP="00F415B7">
      <w:pPr>
        <w:pStyle w:val="Heading6"/>
        <w:spacing w:before="240" w:line="360" w:lineRule="auto"/>
        <w:rPr>
          <w:rFonts w:cs="Arial"/>
          <w:sz w:val="22"/>
          <w:szCs w:val="22"/>
          <w:u w:val="none"/>
          <w:lang w:val="en-ZA"/>
        </w:rPr>
      </w:pPr>
      <w:r w:rsidRPr="008D19B5">
        <w:rPr>
          <w:rFonts w:cs="Arial"/>
          <w:sz w:val="22"/>
          <w:szCs w:val="22"/>
          <w:u w:val="none"/>
          <w:lang w:val="en-ZA"/>
        </w:rPr>
        <w:t xml:space="preserve">Question Number: </w:t>
      </w:r>
      <w:r w:rsidR="008D19B5" w:rsidRPr="008D19B5">
        <w:rPr>
          <w:rFonts w:cs="Arial"/>
          <w:sz w:val="22"/>
          <w:szCs w:val="22"/>
          <w:u w:val="none"/>
          <w:lang w:val="en-ZA"/>
        </w:rPr>
        <w:t>25</w:t>
      </w:r>
      <w:r w:rsidR="00F33DC5">
        <w:rPr>
          <w:rFonts w:cs="Arial"/>
          <w:sz w:val="22"/>
          <w:szCs w:val="22"/>
          <w:u w:val="none"/>
          <w:lang w:val="en-ZA"/>
        </w:rPr>
        <w:t>8</w:t>
      </w:r>
      <w:r w:rsidR="004175D2">
        <w:rPr>
          <w:rFonts w:cs="Arial"/>
          <w:sz w:val="22"/>
          <w:szCs w:val="22"/>
          <w:u w:val="none"/>
          <w:lang w:val="en-ZA"/>
        </w:rPr>
        <w:t>5</w:t>
      </w:r>
    </w:p>
    <w:p w14:paraId="03C7FBC4" w14:textId="77777777" w:rsidR="004175D2" w:rsidRPr="004175D2" w:rsidRDefault="004175D2" w:rsidP="004175D2">
      <w:pPr>
        <w:spacing w:before="100" w:beforeAutospacing="1" w:after="100" w:afterAutospacing="1" w:line="240" w:lineRule="auto"/>
        <w:ind w:left="851" w:hanging="851"/>
        <w:jc w:val="both"/>
        <w:rPr>
          <w:rFonts w:ascii="Arial" w:eastAsia="Times New Roman" w:hAnsi="Arial" w:cs="Arial"/>
        </w:rPr>
      </w:pPr>
      <w:proofErr w:type="spellStart"/>
      <w:r w:rsidRPr="004175D2">
        <w:rPr>
          <w:rFonts w:ascii="Arial" w:eastAsia="Times New Roman" w:hAnsi="Arial" w:cs="Arial"/>
          <w:b/>
        </w:rPr>
        <w:t>Mr</w:t>
      </w:r>
      <w:proofErr w:type="spellEnd"/>
      <w:r w:rsidRPr="004175D2">
        <w:rPr>
          <w:rFonts w:ascii="Arial" w:eastAsia="Times New Roman" w:hAnsi="Arial" w:cs="Arial"/>
          <w:b/>
        </w:rPr>
        <w:t xml:space="preserve"> C H </w:t>
      </w:r>
      <w:proofErr w:type="spellStart"/>
      <w:r w:rsidRPr="004175D2">
        <w:rPr>
          <w:rFonts w:ascii="Arial" w:eastAsia="Times New Roman" w:hAnsi="Arial" w:cs="Arial"/>
          <w:b/>
        </w:rPr>
        <w:t>HHunsinger</w:t>
      </w:r>
      <w:proofErr w:type="spellEnd"/>
      <w:r w:rsidRPr="004175D2">
        <w:rPr>
          <w:rFonts w:ascii="Arial" w:eastAsia="Times New Roman" w:hAnsi="Arial" w:cs="Arial"/>
          <w:b/>
        </w:rPr>
        <w:t xml:space="preserve"> (DA) to ask the Minister of Transport:</w:t>
      </w:r>
    </w:p>
    <w:p w14:paraId="2A123697" w14:textId="77777777" w:rsidR="004175D2" w:rsidRPr="00675E28" w:rsidRDefault="004175D2" w:rsidP="00675E28">
      <w:pPr>
        <w:spacing w:after="0"/>
        <w:ind w:left="720" w:hanging="720"/>
        <w:jc w:val="both"/>
        <w:rPr>
          <w:rFonts w:ascii="Arial" w:hAnsi="Arial" w:cs="Arial"/>
        </w:rPr>
      </w:pPr>
      <w:r w:rsidRPr="00675E28">
        <w:rPr>
          <w:rFonts w:ascii="Arial" w:eastAsia="Times New Roman" w:hAnsi="Arial" w:cs="Arial"/>
        </w:rPr>
        <w:t>(1)</w:t>
      </w:r>
      <w:r w:rsidRPr="00675E28">
        <w:rPr>
          <w:rFonts w:ascii="Arial" w:eastAsia="Times New Roman" w:hAnsi="Arial" w:cs="Arial"/>
        </w:rPr>
        <w:tab/>
      </w:r>
      <w:r w:rsidRPr="00675E28">
        <w:rPr>
          <w:rFonts w:ascii="Arial" w:hAnsi="Arial" w:cs="Arial"/>
        </w:rPr>
        <w:t>Whether any income generated by the Road Traffic Management Corporation (RTMC) was transferred to the National Revenue Fund via her department since 1 April 2007, in line with the National Treasury’s 2007 Practice Note; if not, in each case, why not; if so, what amount of income generated by the RTMC was transferred to the National Revenue Fund during the specified period;</w:t>
      </w:r>
    </w:p>
    <w:p w14:paraId="17C51507" w14:textId="77777777" w:rsidR="004175D2" w:rsidRPr="00675E28" w:rsidRDefault="004175D2" w:rsidP="00675E28">
      <w:pPr>
        <w:spacing w:after="0"/>
        <w:ind w:left="720" w:hanging="720"/>
        <w:jc w:val="both"/>
        <w:rPr>
          <w:rFonts w:ascii="Arial" w:hAnsi="Arial" w:cs="Arial"/>
        </w:rPr>
      </w:pPr>
      <w:r w:rsidRPr="00675E28">
        <w:rPr>
          <w:rFonts w:ascii="Arial" w:hAnsi="Arial" w:cs="Arial"/>
        </w:rPr>
        <w:t>(2)</w:t>
      </w:r>
      <w:r w:rsidRPr="00675E28">
        <w:rPr>
          <w:rFonts w:ascii="Arial" w:hAnsi="Arial" w:cs="Arial"/>
        </w:rPr>
        <w:tab/>
        <w:t>whether any income from transaction fees paid by the RTMC to the National Revenue Fund were claimed back by (a) her department and/or (b) the RTMC since1 April 2007; if not, why not; if so, what are the relevant details;</w:t>
      </w:r>
    </w:p>
    <w:p w14:paraId="7EC45CAB" w14:textId="77777777" w:rsidR="004175D2" w:rsidRPr="00675E28" w:rsidRDefault="004175D2" w:rsidP="00675E28">
      <w:pPr>
        <w:spacing w:after="0"/>
        <w:ind w:left="720" w:hanging="720"/>
        <w:jc w:val="both"/>
        <w:rPr>
          <w:rFonts w:ascii="Arial" w:hAnsi="Arial" w:cs="Arial"/>
        </w:rPr>
      </w:pPr>
      <w:r w:rsidRPr="00675E28">
        <w:rPr>
          <w:rFonts w:ascii="Arial" w:hAnsi="Arial" w:cs="Arial"/>
        </w:rPr>
        <w:t>(3)</w:t>
      </w:r>
      <w:r w:rsidRPr="00675E28">
        <w:rPr>
          <w:rFonts w:ascii="Arial" w:hAnsi="Arial" w:cs="Arial"/>
        </w:rPr>
        <w:tab/>
        <w:t>whether any decision was taken at any stage to stop the transfer of income generated by the RTMC to the National Revenue Fund, contrary to the specified Practice Note, in order to assist the Electronic National Traffic Information System to become self-funded; if not, what is the position in this regard; if so, (a) why, (b) what are the relevant details and (c) what steps has the RTMC taken to rectify the situation;</w:t>
      </w:r>
    </w:p>
    <w:p w14:paraId="4E2415FD" w14:textId="77777777" w:rsidR="004175D2" w:rsidRPr="00675E28" w:rsidRDefault="000540F4" w:rsidP="00675E28">
      <w:pPr>
        <w:spacing w:after="0"/>
        <w:ind w:left="720" w:hanging="720"/>
        <w:jc w:val="both"/>
        <w:rPr>
          <w:rFonts w:ascii="Arial" w:eastAsia="Times New Roman" w:hAnsi="Arial" w:cs="Arial"/>
        </w:rPr>
      </w:pPr>
      <w:r w:rsidRPr="00675E28">
        <w:rPr>
          <w:rFonts w:ascii="Arial" w:hAnsi="Arial" w:cs="Arial"/>
        </w:rPr>
        <w:t>(4)</w:t>
      </w:r>
      <w:r w:rsidRPr="00675E28">
        <w:rPr>
          <w:rFonts w:ascii="Arial" w:hAnsi="Arial" w:cs="Arial"/>
        </w:rPr>
        <w:tab/>
      </w:r>
      <w:proofErr w:type="spellStart"/>
      <w:r w:rsidRPr="00675E28">
        <w:rPr>
          <w:rFonts w:ascii="Arial" w:hAnsi="Arial" w:cs="Arial"/>
        </w:rPr>
        <w:t>how</w:t>
      </w:r>
      <w:r w:rsidR="004175D2" w:rsidRPr="00675E28">
        <w:rPr>
          <w:rFonts w:ascii="Arial" w:hAnsi="Arial" w:cs="Arial"/>
        </w:rPr>
        <w:t>will</w:t>
      </w:r>
      <w:proofErr w:type="spellEnd"/>
      <w:r w:rsidR="004175D2" w:rsidRPr="00675E28">
        <w:rPr>
          <w:rFonts w:ascii="Arial" w:hAnsi="Arial" w:cs="Arial"/>
        </w:rPr>
        <w:t xml:space="preserve"> the budget allocation of the RTMC in the 2016-17 financial year be affected by the payment to </w:t>
      </w:r>
      <w:proofErr w:type="spellStart"/>
      <w:r w:rsidR="004175D2" w:rsidRPr="00675E28">
        <w:rPr>
          <w:rFonts w:ascii="Arial" w:hAnsi="Arial" w:cs="Arial"/>
        </w:rPr>
        <w:t>Tasima</w:t>
      </w:r>
      <w:proofErr w:type="spellEnd"/>
      <w:r w:rsidR="004175D2" w:rsidRPr="00675E28">
        <w:rPr>
          <w:rFonts w:ascii="Arial" w:hAnsi="Arial" w:cs="Arial"/>
        </w:rPr>
        <w:t xml:space="preserve"> as per the court order and the undertaking in her department’s 2015-16 annual report that the RTMC is to reimburse her department for having made this payment</w:t>
      </w:r>
      <w:r w:rsidR="004175D2" w:rsidRPr="00675E28">
        <w:rPr>
          <w:rFonts w:ascii="Arial" w:eastAsia="Times New Roman" w:hAnsi="Arial" w:cs="Arial"/>
        </w:rPr>
        <w:t>?</w:t>
      </w:r>
      <w:r w:rsidR="004175D2" w:rsidRPr="00675E28">
        <w:rPr>
          <w:rFonts w:ascii="Arial" w:eastAsia="Times New Roman" w:hAnsi="Arial" w:cs="Arial"/>
        </w:rPr>
        <w:tab/>
      </w:r>
      <w:r w:rsidR="004175D2" w:rsidRPr="00675E28">
        <w:rPr>
          <w:rFonts w:ascii="Arial" w:eastAsia="Times New Roman" w:hAnsi="Arial" w:cs="Arial"/>
        </w:rPr>
        <w:tab/>
      </w:r>
      <w:r w:rsidR="004175D2" w:rsidRPr="00675E28">
        <w:rPr>
          <w:rFonts w:ascii="Arial" w:eastAsia="Times New Roman" w:hAnsi="Arial" w:cs="Arial"/>
        </w:rPr>
        <w:tab/>
      </w:r>
      <w:r w:rsidR="004175D2" w:rsidRPr="00675E28">
        <w:rPr>
          <w:rFonts w:ascii="Arial" w:eastAsia="Times New Roman" w:hAnsi="Arial" w:cs="Arial"/>
        </w:rPr>
        <w:tab/>
        <w:t>NW2998E</w:t>
      </w:r>
    </w:p>
    <w:p w14:paraId="596C6D24" w14:textId="77777777" w:rsidR="000540F4" w:rsidRPr="00675E28" w:rsidRDefault="00F33DC5" w:rsidP="00675E28">
      <w:pPr>
        <w:spacing w:after="0"/>
        <w:jc w:val="both"/>
        <w:rPr>
          <w:rFonts w:ascii="Arial" w:hAnsi="Arial" w:cs="Arial"/>
          <w:b/>
        </w:rPr>
      </w:pPr>
      <w:r w:rsidRPr="00675E28">
        <w:rPr>
          <w:rFonts w:ascii="Arial" w:hAnsi="Arial" w:cs="Arial"/>
          <w:b/>
        </w:rPr>
        <w:t>REPLY</w:t>
      </w:r>
    </w:p>
    <w:p w14:paraId="2FA3DCF0" w14:textId="77777777" w:rsidR="000540F4" w:rsidRPr="00675E28" w:rsidRDefault="000540F4" w:rsidP="00675E28">
      <w:pPr>
        <w:spacing w:after="0"/>
        <w:jc w:val="both"/>
        <w:rPr>
          <w:rFonts w:ascii="Arial" w:hAnsi="Arial" w:cs="Arial"/>
          <w:b/>
        </w:rPr>
      </w:pPr>
    </w:p>
    <w:p w14:paraId="3C5FBB61" w14:textId="77777777" w:rsidR="000540F4" w:rsidRPr="00675E28" w:rsidRDefault="000540F4" w:rsidP="00675E28">
      <w:pPr>
        <w:pStyle w:val="ListParagraph"/>
        <w:numPr>
          <w:ilvl w:val="0"/>
          <w:numId w:val="8"/>
        </w:numPr>
        <w:tabs>
          <w:tab w:val="left" w:pos="709"/>
        </w:tabs>
        <w:spacing w:after="0"/>
        <w:ind w:left="709" w:hanging="709"/>
        <w:jc w:val="both"/>
        <w:rPr>
          <w:rFonts w:ascii="Arial" w:hAnsi="Arial" w:cs="Arial"/>
        </w:rPr>
      </w:pPr>
      <w:r w:rsidRPr="00675E28">
        <w:rPr>
          <w:rFonts w:ascii="Arial" w:hAnsi="Arial" w:cs="Arial"/>
        </w:rPr>
        <w:t xml:space="preserve">The </w:t>
      </w:r>
      <w:r w:rsidR="001F358D" w:rsidRPr="00675E28">
        <w:rPr>
          <w:rFonts w:ascii="Arial" w:hAnsi="Arial" w:cs="Arial"/>
        </w:rPr>
        <w:t xml:space="preserve">matter relating </w:t>
      </w:r>
      <w:r w:rsidR="00A85E87" w:rsidRPr="00675E28">
        <w:rPr>
          <w:rFonts w:ascii="Arial" w:hAnsi="Arial" w:cs="Arial"/>
        </w:rPr>
        <w:t>to transferring</w:t>
      </w:r>
      <w:r w:rsidRPr="00675E28">
        <w:rPr>
          <w:rFonts w:ascii="Arial" w:hAnsi="Arial" w:cs="Arial"/>
        </w:rPr>
        <w:t xml:space="preserve"> of the income generated by the</w:t>
      </w:r>
      <w:r w:rsidR="001F358D" w:rsidRPr="00675E28">
        <w:rPr>
          <w:rFonts w:ascii="Arial" w:hAnsi="Arial" w:cs="Arial"/>
        </w:rPr>
        <w:t xml:space="preserve"> Road Traffic Management Corporation (</w:t>
      </w:r>
      <w:r w:rsidRPr="00675E28">
        <w:rPr>
          <w:rFonts w:ascii="Arial" w:hAnsi="Arial" w:cs="Arial"/>
        </w:rPr>
        <w:t>RTMC</w:t>
      </w:r>
      <w:r w:rsidR="001F358D" w:rsidRPr="00675E28">
        <w:rPr>
          <w:rFonts w:ascii="Arial" w:hAnsi="Arial" w:cs="Arial"/>
        </w:rPr>
        <w:t>)</w:t>
      </w:r>
      <w:r w:rsidRPr="00675E28">
        <w:rPr>
          <w:rFonts w:ascii="Arial" w:hAnsi="Arial" w:cs="Arial"/>
        </w:rPr>
        <w:t xml:space="preserve"> to the revenue fund was laid to rest by the FFC resolution.  We attached the FFC resolution for ease of reference.</w:t>
      </w:r>
    </w:p>
    <w:p w14:paraId="3FA44A0F" w14:textId="77777777" w:rsidR="001F358D" w:rsidRPr="00675E28" w:rsidRDefault="001F358D" w:rsidP="00675E28">
      <w:pPr>
        <w:tabs>
          <w:tab w:val="left" w:pos="709"/>
        </w:tabs>
        <w:spacing w:after="0"/>
        <w:ind w:left="709" w:hanging="709"/>
        <w:jc w:val="both"/>
        <w:rPr>
          <w:rFonts w:ascii="Arial" w:hAnsi="Arial" w:cs="Arial"/>
        </w:rPr>
      </w:pPr>
    </w:p>
    <w:p w14:paraId="1CBA08C7" w14:textId="77777777" w:rsidR="001F358D" w:rsidRPr="00675E28" w:rsidRDefault="000540F4" w:rsidP="00675E28">
      <w:pPr>
        <w:pStyle w:val="ListParagraph"/>
        <w:numPr>
          <w:ilvl w:val="0"/>
          <w:numId w:val="8"/>
        </w:numPr>
        <w:tabs>
          <w:tab w:val="left" w:pos="709"/>
        </w:tabs>
        <w:spacing w:after="0"/>
        <w:ind w:left="709" w:hanging="709"/>
        <w:jc w:val="both"/>
        <w:rPr>
          <w:rFonts w:ascii="Arial" w:hAnsi="Arial" w:cs="Arial"/>
        </w:rPr>
      </w:pPr>
      <w:r w:rsidRPr="00675E28">
        <w:rPr>
          <w:rFonts w:ascii="Arial" w:hAnsi="Arial" w:cs="Arial"/>
        </w:rPr>
        <w:t xml:space="preserve">The RTMC is a creature of statute and any monies generated and or income made by the corporation is regulated by the act that established the Corporation.  It is therefore prudent to consider the resolution of the FFC as attached above. </w:t>
      </w:r>
    </w:p>
    <w:p w14:paraId="27EF8047" w14:textId="77777777" w:rsidR="001F358D" w:rsidRPr="00675E28" w:rsidRDefault="001F358D" w:rsidP="00675E28">
      <w:pPr>
        <w:pStyle w:val="ListParagraph"/>
        <w:tabs>
          <w:tab w:val="left" w:pos="709"/>
        </w:tabs>
        <w:spacing w:after="0"/>
        <w:ind w:left="709" w:hanging="709"/>
        <w:jc w:val="both"/>
        <w:rPr>
          <w:rFonts w:ascii="Arial" w:hAnsi="Arial" w:cs="Arial"/>
        </w:rPr>
      </w:pPr>
    </w:p>
    <w:p w14:paraId="2A18F04C" w14:textId="77777777" w:rsidR="001F358D" w:rsidRPr="00675E28" w:rsidRDefault="001F358D" w:rsidP="00675E28">
      <w:pPr>
        <w:pStyle w:val="ListParagraph"/>
        <w:numPr>
          <w:ilvl w:val="0"/>
          <w:numId w:val="8"/>
        </w:numPr>
        <w:tabs>
          <w:tab w:val="left" w:pos="709"/>
        </w:tabs>
        <w:spacing w:after="0"/>
        <w:ind w:left="709" w:hanging="709"/>
        <w:jc w:val="both"/>
        <w:rPr>
          <w:rFonts w:ascii="Arial" w:hAnsi="Arial" w:cs="Arial"/>
        </w:rPr>
      </w:pPr>
      <w:r w:rsidRPr="00675E28">
        <w:rPr>
          <w:rFonts w:ascii="Arial" w:hAnsi="Arial" w:cs="Arial"/>
        </w:rPr>
        <w:t xml:space="preserve">The FFC resolution attached </w:t>
      </w:r>
      <w:r w:rsidR="00221118">
        <w:rPr>
          <w:rFonts w:ascii="Arial" w:hAnsi="Arial" w:cs="Arial"/>
        </w:rPr>
        <w:t>offer an explanation</w:t>
      </w:r>
      <w:r w:rsidRPr="00675E28">
        <w:rPr>
          <w:rFonts w:ascii="Arial" w:hAnsi="Arial" w:cs="Arial"/>
        </w:rPr>
        <w:t xml:space="preserve"> in relation to these matters.</w:t>
      </w:r>
    </w:p>
    <w:p w14:paraId="19C7588C" w14:textId="77777777" w:rsidR="001F358D" w:rsidRPr="00675E28" w:rsidRDefault="001F358D" w:rsidP="00675E28">
      <w:pPr>
        <w:pStyle w:val="ListParagraph"/>
        <w:tabs>
          <w:tab w:val="left" w:pos="709"/>
        </w:tabs>
        <w:spacing w:after="0"/>
        <w:ind w:left="709" w:hanging="709"/>
        <w:jc w:val="both"/>
        <w:rPr>
          <w:rFonts w:ascii="Arial" w:hAnsi="Arial" w:cs="Arial"/>
        </w:rPr>
      </w:pPr>
    </w:p>
    <w:p w14:paraId="0F9CAA89" w14:textId="77777777" w:rsidR="001F358D" w:rsidRPr="00675E28" w:rsidRDefault="001F358D" w:rsidP="00675E28">
      <w:pPr>
        <w:pStyle w:val="ListParagraph"/>
        <w:tabs>
          <w:tab w:val="left" w:pos="709"/>
        </w:tabs>
        <w:spacing w:after="0"/>
        <w:ind w:left="709" w:hanging="709"/>
        <w:jc w:val="both"/>
        <w:rPr>
          <w:rFonts w:ascii="Arial" w:hAnsi="Arial" w:cs="Arial"/>
        </w:rPr>
      </w:pPr>
    </w:p>
    <w:p w14:paraId="0846FBAD" w14:textId="77777777" w:rsidR="008D19B5" w:rsidRPr="001F358D" w:rsidRDefault="001F358D" w:rsidP="00675E28">
      <w:pPr>
        <w:pStyle w:val="ListParagraph"/>
        <w:numPr>
          <w:ilvl w:val="0"/>
          <w:numId w:val="8"/>
        </w:numPr>
        <w:tabs>
          <w:tab w:val="left" w:pos="709"/>
        </w:tabs>
        <w:spacing w:after="0"/>
        <w:ind w:left="709" w:hanging="709"/>
        <w:jc w:val="both"/>
        <w:rPr>
          <w:rFonts w:ascii="Arial" w:hAnsi="Arial" w:cs="Arial"/>
          <w:sz w:val="24"/>
          <w:szCs w:val="24"/>
        </w:rPr>
      </w:pPr>
      <w:r w:rsidRPr="00675E28">
        <w:rPr>
          <w:rFonts w:ascii="Arial" w:hAnsi="Arial" w:cs="Arial"/>
        </w:rPr>
        <w:t xml:space="preserve">The payment to </w:t>
      </w:r>
      <w:proofErr w:type="spellStart"/>
      <w:r w:rsidRPr="00675E28">
        <w:rPr>
          <w:rFonts w:ascii="Arial" w:hAnsi="Arial" w:cs="Arial"/>
        </w:rPr>
        <w:t>Tasima</w:t>
      </w:r>
      <w:proofErr w:type="spellEnd"/>
      <w:r w:rsidRPr="00675E28">
        <w:rPr>
          <w:rFonts w:ascii="Arial" w:hAnsi="Arial" w:cs="Arial"/>
        </w:rPr>
        <w:t xml:space="preserve"> post 2012 was per the various court orders against the department and no court order was ever made against the RTMC for the payment of </w:t>
      </w:r>
      <w:proofErr w:type="spellStart"/>
      <w:r w:rsidRPr="00675E28">
        <w:rPr>
          <w:rFonts w:ascii="Arial" w:hAnsi="Arial" w:cs="Arial"/>
        </w:rPr>
        <w:t>theeNaTIS</w:t>
      </w:r>
      <w:proofErr w:type="spellEnd"/>
      <w:r w:rsidRPr="00675E28">
        <w:rPr>
          <w:rFonts w:ascii="Arial" w:hAnsi="Arial" w:cs="Arial"/>
        </w:rPr>
        <w:t xml:space="preserve"> to the </w:t>
      </w:r>
      <w:proofErr w:type="spellStart"/>
      <w:r w:rsidRPr="00675E28">
        <w:rPr>
          <w:rFonts w:ascii="Arial" w:hAnsi="Arial" w:cs="Arial"/>
        </w:rPr>
        <w:t>Tasima</w:t>
      </w:r>
      <w:proofErr w:type="spellEnd"/>
      <w:r w:rsidRPr="00675E28">
        <w:rPr>
          <w:rFonts w:ascii="Arial" w:hAnsi="Arial" w:cs="Arial"/>
        </w:rPr>
        <w:t>.  Therefore there could be no legal ground or basis on which RTMC can be made to reimburse the monies paid.</w:t>
      </w:r>
      <w:r w:rsidR="008D19B5" w:rsidRPr="001F358D">
        <w:rPr>
          <w:rFonts w:ascii="Arial" w:hAnsi="Arial" w:cs="Arial"/>
          <w:sz w:val="24"/>
          <w:szCs w:val="24"/>
        </w:rPr>
        <w:tab/>
      </w:r>
      <w:r w:rsidR="008D19B5" w:rsidRPr="001F358D">
        <w:rPr>
          <w:rFonts w:ascii="Arial" w:hAnsi="Arial" w:cs="Arial"/>
          <w:sz w:val="24"/>
          <w:szCs w:val="24"/>
        </w:rPr>
        <w:tab/>
      </w:r>
      <w:r w:rsidR="008D19B5" w:rsidRPr="001F358D">
        <w:rPr>
          <w:rFonts w:ascii="Arial" w:hAnsi="Arial" w:cs="Arial"/>
          <w:sz w:val="24"/>
          <w:szCs w:val="24"/>
        </w:rPr>
        <w:tab/>
      </w:r>
    </w:p>
    <w:sectPr w:rsidR="008D19B5" w:rsidRPr="001F358D" w:rsidSect="00675E28">
      <w:pgSz w:w="12240" w:h="15840"/>
      <w:pgMar w:top="568" w:right="758"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9C25514"/>
    <w:multiLevelType w:val="hybridMultilevel"/>
    <w:tmpl w:val="DBAA924E"/>
    <w:lvl w:ilvl="0" w:tplc="0D14F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5"/>
  </w:num>
  <w:num w:numId="6">
    <w:abstractNumId w:val="1"/>
  </w:num>
  <w:num w:numId="7">
    <w:abstractNumId w:val="4"/>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33F46"/>
    <w:rsid w:val="000365FB"/>
    <w:rsid w:val="0003796A"/>
    <w:rsid w:val="00041985"/>
    <w:rsid w:val="00044AC4"/>
    <w:rsid w:val="0005391D"/>
    <w:rsid w:val="000540F4"/>
    <w:rsid w:val="00055A79"/>
    <w:rsid w:val="00064322"/>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35AE4"/>
    <w:rsid w:val="00137DD0"/>
    <w:rsid w:val="00151529"/>
    <w:rsid w:val="00153AAD"/>
    <w:rsid w:val="00156DFD"/>
    <w:rsid w:val="001712B4"/>
    <w:rsid w:val="00173751"/>
    <w:rsid w:val="001828D3"/>
    <w:rsid w:val="001B2E53"/>
    <w:rsid w:val="001C323C"/>
    <w:rsid w:val="001C32E4"/>
    <w:rsid w:val="001D6B2E"/>
    <w:rsid w:val="001E1B86"/>
    <w:rsid w:val="001F0CED"/>
    <w:rsid w:val="001F358D"/>
    <w:rsid w:val="001F7FCE"/>
    <w:rsid w:val="00202511"/>
    <w:rsid w:val="002026BE"/>
    <w:rsid w:val="00204538"/>
    <w:rsid w:val="00206B22"/>
    <w:rsid w:val="00212C41"/>
    <w:rsid w:val="002136FC"/>
    <w:rsid w:val="00220C71"/>
    <w:rsid w:val="00221118"/>
    <w:rsid w:val="002321C1"/>
    <w:rsid w:val="002422DA"/>
    <w:rsid w:val="00247ECC"/>
    <w:rsid w:val="00251BC9"/>
    <w:rsid w:val="0025261D"/>
    <w:rsid w:val="00253BA7"/>
    <w:rsid w:val="00261077"/>
    <w:rsid w:val="00261D30"/>
    <w:rsid w:val="002800B5"/>
    <w:rsid w:val="002838E4"/>
    <w:rsid w:val="00286F8A"/>
    <w:rsid w:val="002904DD"/>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34F7"/>
    <w:rsid w:val="00314530"/>
    <w:rsid w:val="00322191"/>
    <w:rsid w:val="00323697"/>
    <w:rsid w:val="003450B0"/>
    <w:rsid w:val="003510C2"/>
    <w:rsid w:val="003554D8"/>
    <w:rsid w:val="00391284"/>
    <w:rsid w:val="00392460"/>
    <w:rsid w:val="00393E6C"/>
    <w:rsid w:val="00396483"/>
    <w:rsid w:val="003A0196"/>
    <w:rsid w:val="003A20F1"/>
    <w:rsid w:val="003B15B6"/>
    <w:rsid w:val="003C29B5"/>
    <w:rsid w:val="003C53EF"/>
    <w:rsid w:val="003C785A"/>
    <w:rsid w:val="003D7ABC"/>
    <w:rsid w:val="003F7CE2"/>
    <w:rsid w:val="004016C1"/>
    <w:rsid w:val="0040578A"/>
    <w:rsid w:val="0040684E"/>
    <w:rsid w:val="004175D2"/>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05D6C"/>
    <w:rsid w:val="00521C71"/>
    <w:rsid w:val="005225EF"/>
    <w:rsid w:val="00525BB9"/>
    <w:rsid w:val="005318EE"/>
    <w:rsid w:val="00532531"/>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D5448"/>
    <w:rsid w:val="005D559D"/>
    <w:rsid w:val="005E123E"/>
    <w:rsid w:val="005F20B1"/>
    <w:rsid w:val="005F3F35"/>
    <w:rsid w:val="005F630B"/>
    <w:rsid w:val="006009A0"/>
    <w:rsid w:val="00604285"/>
    <w:rsid w:val="006140CA"/>
    <w:rsid w:val="00617B5C"/>
    <w:rsid w:val="00637B39"/>
    <w:rsid w:val="006748E3"/>
    <w:rsid w:val="00675E28"/>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84077"/>
    <w:rsid w:val="00787784"/>
    <w:rsid w:val="007907EC"/>
    <w:rsid w:val="007A22E6"/>
    <w:rsid w:val="007A3082"/>
    <w:rsid w:val="007A5C12"/>
    <w:rsid w:val="007A5DBD"/>
    <w:rsid w:val="007A6B70"/>
    <w:rsid w:val="007B6723"/>
    <w:rsid w:val="007C7CC7"/>
    <w:rsid w:val="007D3628"/>
    <w:rsid w:val="007F0FBD"/>
    <w:rsid w:val="007F24B0"/>
    <w:rsid w:val="007F5753"/>
    <w:rsid w:val="007F5F7B"/>
    <w:rsid w:val="00802076"/>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D19B5"/>
    <w:rsid w:val="008E13A6"/>
    <w:rsid w:val="008F0979"/>
    <w:rsid w:val="00913EED"/>
    <w:rsid w:val="00916A9F"/>
    <w:rsid w:val="00916CE7"/>
    <w:rsid w:val="009222A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5E87"/>
    <w:rsid w:val="00A87430"/>
    <w:rsid w:val="00A90242"/>
    <w:rsid w:val="00A90517"/>
    <w:rsid w:val="00A910A7"/>
    <w:rsid w:val="00A96DC3"/>
    <w:rsid w:val="00AD4B8F"/>
    <w:rsid w:val="00AD6B5D"/>
    <w:rsid w:val="00AE290B"/>
    <w:rsid w:val="00B00C2E"/>
    <w:rsid w:val="00B05CA7"/>
    <w:rsid w:val="00B14DFC"/>
    <w:rsid w:val="00B1547F"/>
    <w:rsid w:val="00B177F2"/>
    <w:rsid w:val="00B21162"/>
    <w:rsid w:val="00B21C1C"/>
    <w:rsid w:val="00B31016"/>
    <w:rsid w:val="00B32459"/>
    <w:rsid w:val="00B3611E"/>
    <w:rsid w:val="00B40FCE"/>
    <w:rsid w:val="00B433E2"/>
    <w:rsid w:val="00B47C13"/>
    <w:rsid w:val="00B56227"/>
    <w:rsid w:val="00B5722B"/>
    <w:rsid w:val="00B66DDB"/>
    <w:rsid w:val="00B75F59"/>
    <w:rsid w:val="00B93309"/>
    <w:rsid w:val="00B95F63"/>
    <w:rsid w:val="00BA3834"/>
    <w:rsid w:val="00BA4847"/>
    <w:rsid w:val="00BB5EA4"/>
    <w:rsid w:val="00BC06BD"/>
    <w:rsid w:val="00BC2F3F"/>
    <w:rsid w:val="00BD65B7"/>
    <w:rsid w:val="00BE0C5A"/>
    <w:rsid w:val="00BF349B"/>
    <w:rsid w:val="00BF68B6"/>
    <w:rsid w:val="00BF69C4"/>
    <w:rsid w:val="00C01BD0"/>
    <w:rsid w:val="00C125D5"/>
    <w:rsid w:val="00C202CB"/>
    <w:rsid w:val="00C33C1E"/>
    <w:rsid w:val="00C50D10"/>
    <w:rsid w:val="00C6207A"/>
    <w:rsid w:val="00C62268"/>
    <w:rsid w:val="00C64770"/>
    <w:rsid w:val="00C731ED"/>
    <w:rsid w:val="00C92817"/>
    <w:rsid w:val="00C97682"/>
    <w:rsid w:val="00CB640B"/>
    <w:rsid w:val="00CC164A"/>
    <w:rsid w:val="00CE1573"/>
    <w:rsid w:val="00CE54D8"/>
    <w:rsid w:val="00CF5BC7"/>
    <w:rsid w:val="00D12E4F"/>
    <w:rsid w:val="00D222DF"/>
    <w:rsid w:val="00D444E5"/>
    <w:rsid w:val="00D74AD1"/>
    <w:rsid w:val="00D82AB0"/>
    <w:rsid w:val="00D92CFD"/>
    <w:rsid w:val="00D92F30"/>
    <w:rsid w:val="00DA1E37"/>
    <w:rsid w:val="00DB644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0496"/>
    <w:rsid w:val="00EB53F1"/>
    <w:rsid w:val="00EC4D69"/>
    <w:rsid w:val="00EC68CF"/>
    <w:rsid w:val="00ED4839"/>
    <w:rsid w:val="00EF5FED"/>
    <w:rsid w:val="00EF7862"/>
    <w:rsid w:val="00F00B6B"/>
    <w:rsid w:val="00F25A2B"/>
    <w:rsid w:val="00F33DA9"/>
    <w:rsid w:val="00F33DC5"/>
    <w:rsid w:val="00F41319"/>
    <w:rsid w:val="00F415B7"/>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336A2"/>
  <w15:docId w15:val="{ED9C1037-CC96-4E23-B199-611ED1B1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C42F9-F816-4E1B-893F-2ADA87B8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2016-10-21T09:40:00Z</cp:lastPrinted>
  <dcterms:created xsi:type="dcterms:W3CDTF">2016-12-02T10:30:00Z</dcterms:created>
  <dcterms:modified xsi:type="dcterms:W3CDTF">2016-12-02T10:30:00Z</dcterms:modified>
</cp:coreProperties>
</file>