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41D" w:rsidRPr="002B541D" w:rsidRDefault="002B541D" w:rsidP="002B541D">
      <w:pPr>
        <w:pStyle w:val="BodyText"/>
        <w:rPr>
          <w:sz w:val="20"/>
          <w:szCs w:val="20"/>
        </w:rPr>
      </w:pPr>
    </w:p>
    <w:p w:rsidR="002B541D" w:rsidRPr="002B541D" w:rsidRDefault="002B541D" w:rsidP="002B541D">
      <w:pPr>
        <w:pStyle w:val="Heading1"/>
        <w:ind w:right="4898"/>
        <w:rPr>
          <w:sz w:val="20"/>
          <w:szCs w:val="20"/>
        </w:rPr>
      </w:pPr>
      <w:r w:rsidRPr="002B541D">
        <w:rPr>
          <w:sz w:val="20"/>
          <w:szCs w:val="20"/>
        </w:rPr>
        <w:t>PARLIAMENT OF THE REPUBLIC OF SOUTH AFRICA NATIONAL ASSEMBLY</w:t>
      </w:r>
    </w:p>
    <w:p w:rsidR="00B36776" w:rsidRPr="002B541D" w:rsidRDefault="001958D4" w:rsidP="002B541D">
      <w:pPr>
        <w:pStyle w:val="Heading1"/>
        <w:ind w:right="4898"/>
        <w:rPr>
          <w:sz w:val="20"/>
          <w:szCs w:val="20"/>
        </w:rPr>
      </w:pPr>
      <w:r w:rsidRPr="002B541D">
        <w:rPr>
          <w:sz w:val="20"/>
          <w:szCs w:val="20"/>
        </w:rPr>
        <w:t>QUESTION FOR WRITTEN REPLY PARLIAMENTARY QUESTION NO: 2579 DATE OF QUESTION: 26 NOVEMBER 2021</w:t>
      </w:r>
    </w:p>
    <w:p w:rsidR="00B36776" w:rsidRPr="002B541D" w:rsidRDefault="001958D4" w:rsidP="002B541D">
      <w:pPr>
        <w:ind w:left="280"/>
        <w:rPr>
          <w:b/>
          <w:sz w:val="20"/>
          <w:szCs w:val="20"/>
        </w:rPr>
      </w:pPr>
      <w:r w:rsidRPr="002B541D">
        <w:rPr>
          <w:b/>
          <w:sz w:val="20"/>
          <w:szCs w:val="20"/>
        </w:rPr>
        <w:t>DATE OF SUBMISSION: 10 DECEMBER 2021</w:t>
      </w:r>
    </w:p>
    <w:p w:rsidR="00B36776" w:rsidRPr="002B541D" w:rsidRDefault="00B36776" w:rsidP="002B541D">
      <w:pPr>
        <w:pStyle w:val="BodyText"/>
        <w:rPr>
          <w:b/>
          <w:sz w:val="20"/>
          <w:szCs w:val="20"/>
        </w:rPr>
      </w:pPr>
    </w:p>
    <w:p w:rsidR="00B36776" w:rsidRPr="002B541D" w:rsidRDefault="001958D4" w:rsidP="002B541D">
      <w:pPr>
        <w:ind w:left="280"/>
        <w:rPr>
          <w:b/>
          <w:sz w:val="20"/>
          <w:szCs w:val="20"/>
        </w:rPr>
      </w:pPr>
      <w:r w:rsidRPr="002B541D">
        <w:rPr>
          <w:b/>
          <w:sz w:val="20"/>
          <w:szCs w:val="20"/>
        </w:rPr>
        <w:t>Adv G Breytenbach (DA) to ask the Minister of Justice and Correctional Services:</w:t>
      </w:r>
    </w:p>
    <w:p w:rsidR="00B36776" w:rsidRPr="002B541D" w:rsidRDefault="00B36776" w:rsidP="002B541D">
      <w:pPr>
        <w:pStyle w:val="BodyText"/>
        <w:rPr>
          <w:b/>
          <w:sz w:val="20"/>
          <w:szCs w:val="20"/>
        </w:rPr>
      </w:pPr>
    </w:p>
    <w:p w:rsidR="00B36776" w:rsidRPr="002B541D" w:rsidRDefault="001958D4" w:rsidP="002B541D">
      <w:pPr>
        <w:pStyle w:val="BodyText"/>
        <w:tabs>
          <w:tab w:val="left" w:pos="8201"/>
        </w:tabs>
        <w:ind w:left="280" w:right="394"/>
        <w:rPr>
          <w:b/>
          <w:sz w:val="20"/>
          <w:szCs w:val="20"/>
        </w:rPr>
      </w:pPr>
      <w:r w:rsidRPr="002B541D">
        <w:rPr>
          <w:sz w:val="20"/>
          <w:szCs w:val="20"/>
        </w:rPr>
        <w:t>With</w:t>
      </w:r>
      <w:r w:rsidRPr="002B541D">
        <w:rPr>
          <w:sz w:val="20"/>
          <w:szCs w:val="20"/>
        </w:rPr>
        <w:t xml:space="preserve"> reference to the 35% increase in irregular expenditure to R1,41 billion and 93% increase in fruitless and wasteful expenditure to R1,13 billion in the 2020-21 financial year, what steps does he intend to take to (a) address the sharp increase in irregular</w:t>
      </w:r>
      <w:r w:rsidRPr="002B541D">
        <w:rPr>
          <w:sz w:val="20"/>
          <w:szCs w:val="20"/>
        </w:rPr>
        <w:t xml:space="preserve"> and fruitless and wasteful expenditure in his department and (b) hold those employees found to be responsible for incurring the irregular and fruitless and wasteful expenditure accountable?</w:t>
      </w:r>
      <w:r w:rsidRPr="002B541D">
        <w:rPr>
          <w:sz w:val="20"/>
          <w:szCs w:val="20"/>
        </w:rPr>
        <w:tab/>
      </w:r>
      <w:r w:rsidRPr="002B541D">
        <w:rPr>
          <w:b/>
          <w:sz w:val="20"/>
          <w:szCs w:val="20"/>
        </w:rPr>
        <w:t>NW3055E</w:t>
      </w:r>
    </w:p>
    <w:p w:rsidR="00B36776" w:rsidRPr="002B541D" w:rsidRDefault="00B36776" w:rsidP="002B541D">
      <w:pPr>
        <w:pStyle w:val="BodyText"/>
        <w:rPr>
          <w:b/>
          <w:sz w:val="20"/>
          <w:szCs w:val="20"/>
        </w:rPr>
      </w:pPr>
    </w:p>
    <w:p w:rsidR="00B36776" w:rsidRPr="002B541D" w:rsidRDefault="00B36776" w:rsidP="002B541D">
      <w:pPr>
        <w:pStyle w:val="BodyText"/>
        <w:rPr>
          <w:b/>
          <w:sz w:val="20"/>
          <w:szCs w:val="20"/>
        </w:rPr>
      </w:pPr>
    </w:p>
    <w:p w:rsidR="00B36776" w:rsidRPr="002B541D" w:rsidRDefault="001958D4" w:rsidP="002B541D">
      <w:pPr>
        <w:pStyle w:val="Heading1"/>
        <w:rPr>
          <w:sz w:val="20"/>
          <w:szCs w:val="20"/>
        </w:rPr>
      </w:pPr>
      <w:r w:rsidRPr="002B541D">
        <w:rPr>
          <w:sz w:val="20"/>
          <w:szCs w:val="20"/>
        </w:rPr>
        <w:t>REPLY:</w:t>
      </w:r>
    </w:p>
    <w:p w:rsidR="00B36776" w:rsidRPr="002B541D" w:rsidRDefault="00B36776" w:rsidP="002B541D">
      <w:pPr>
        <w:pStyle w:val="BodyText"/>
        <w:rPr>
          <w:b/>
          <w:sz w:val="20"/>
          <w:szCs w:val="20"/>
        </w:rPr>
      </w:pPr>
    </w:p>
    <w:p w:rsidR="00B36776" w:rsidRPr="002B541D" w:rsidRDefault="001958D4" w:rsidP="002B541D">
      <w:pPr>
        <w:pStyle w:val="BodyText"/>
        <w:ind w:left="280" w:right="396"/>
        <w:rPr>
          <w:sz w:val="20"/>
          <w:szCs w:val="20"/>
        </w:rPr>
      </w:pPr>
      <w:r w:rsidRPr="002B541D">
        <w:rPr>
          <w:sz w:val="20"/>
          <w:szCs w:val="20"/>
        </w:rPr>
        <w:t>The increase of the fruitless and wasteful expe</w:t>
      </w:r>
      <w:r w:rsidRPr="002B541D">
        <w:rPr>
          <w:sz w:val="20"/>
          <w:szCs w:val="20"/>
        </w:rPr>
        <w:t>nditure for 2020/21 financial year is R1,13 million (</w:t>
      </w:r>
      <w:r w:rsidRPr="002B541D">
        <w:rPr>
          <w:b/>
          <w:sz w:val="20"/>
          <w:szCs w:val="20"/>
          <w:u w:val="thick"/>
        </w:rPr>
        <w:t>not billion</w:t>
      </w:r>
      <w:r w:rsidRPr="002B541D">
        <w:rPr>
          <w:sz w:val="20"/>
          <w:szCs w:val="20"/>
        </w:rPr>
        <w:t>) as indicated in the question. (See Annual Report 2020/21, pg 265 for ease of</w:t>
      </w:r>
      <w:r w:rsidRPr="002B541D">
        <w:rPr>
          <w:spacing w:val="-2"/>
          <w:sz w:val="20"/>
          <w:szCs w:val="20"/>
        </w:rPr>
        <w:t xml:space="preserve"> </w:t>
      </w:r>
      <w:r w:rsidRPr="002B541D">
        <w:rPr>
          <w:sz w:val="20"/>
          <w:szCs w:val="20"/>
        </w:rPr>
        <w:t>reference).</w:t>
      </w:r>
    </w:p>
    <w:p w:rsidR="00B36776" w:rsidRPr="002B541D" w:rsidRDefault="00B36776" w:rsidP="002B541D">
      <w:pPr>
        <w:pStyle w:val="BodyText"/>
        <w:rPr>
          <w:sz w:val="20"/>
          <w:szCs w:val="20"/>
        </w:rPr>
      </w:pPr>
    </w:p>
    <w:p w:rsidR="00B36776" w:rsidRPr="002B541D" w:rsidRDefault="001958D4" w:rsidP="002B541D">
      <w:pPr>
        <w:pStyle w:val="ListParagraph"/>
        <w:numPr>
          <w:ilvl w:val="0"/>
          <w:numId w:val="1"/>
        </w:numPr>
        <w:tabs>
          <w:tab w:val="left" w:pos="847"/>
        </w:tabs>
        <w:spacing w:before="0"/>
        <w:ind w:right="397"/>
        <w:rPr>
          <w:sz w:val="20"/>
          <w:szCs w:val="20"/>
        </w:rPr>
      </w:pPr>
      <w:r w:rsidRPr="002B541D">
        <w:rPr>
          <w:sz w:val="20"/>
          <w:szCs w:val="20"/>
        </w:rPr>
        <w:t>Department has investigated a total of 1 082 cases of irregular, fruitless and wasteful expenditure out of 1 320 cases reported. The progress translates to 82% of cases</w:t>
      </w:r>
      <w:r w:rsidRPr="002B541D">
        <w:rPr>
          <w:spacing w:val="2"/>
          <w:sz w:val="20"/>
          <w:szCs w:val="20"/>
        </w:rPr>
        <w:t xml:space="preserve"> </w:t>
      </w:r>
      <w:r w:rsidRPr="002B541D">
        <w:rPr>
          <w:sz w:val="20"/>
          <w:szCs w:val="20"/>
        </w:rPr>
        <w:t>investigated.</w:t>
      </w:r>
    </w:p>
    <w:p w:rsidR="00B36776" w:rsidRPr="002B541D" w:rsidRDefault="00B36776" w:rsidP="002B541D">
      <w:pPr>
        <w:pStyle w:val="BodyText"/>
        <w:rPr>
          <w:sz w:val="20"/>
          <w:szCs w:val="20"/>
        </w:rPr>
      </w:pPr>
    </w:p>
    <w:p w:rsidR="00B36776" w:rsidRPr="002B541D" w:rsidRDefault="001958D4" w:rsidP="002B541D">
      <w:pPr>
        <w:pStyle w:val="ListParagraph"/>
        <w:numPr>
          <w:ilvl w:val="0"/>
          <w:numId w:val="1"/>
        </w:numPr>
        <w:tabs>
          <w:tab w:val="left" w:pos="847"/>
        </w:tabs>
        <w:spacing w:before="0"/>
        <w:ind w:right="405"/>
        <w:rPr>
          <w:sz w:val="20"/>
          <w:szCs w:val="20"/>
        </w:rPr>
      </w:pPr>
      <w:r w:rsidRPr="002B541D">
        <w:rPr>
          <w:sz w:val="20"/>
          <w:szCs w:val="20"/>
        </w:rPr>
        <w:t>Consequence management measures were applied on a total of 136 transacti</w:t>
      </w:r>
      <w:r w:rsidRPr="002B541D">
        <w:rPr>
          <w:sz w:val="20"/>
          <w:szCs w:val="20"/>
        </w:rPr>
        <w:t>ons where officials received varying disciplinary</w:t>
      </w:r>
      <w:r w:rsidRPr="002B541D">
        <w:rPr>
          <w:spacing w:val="-7"/>
          <w:sz w:val="20"/>
          <w:szCs w:val="20"/>
        </w:rPr>
        <w:t xml:space="preserve"> </w:t>
      </w:r>
      <w:r w:rsidRPr="002B541D">
        <w:rPr>
          <w:sz w:val="20"/>
          <w:szCs w:val="20"/>
        </w:rPr>
        <w:t>outcomes.</w:t>
      </w:r>
    </w:p>
    <w:p w:rsidR="00B36776" w:rsidRPr="002B541D" w:rsidRDefault="00B36776" w:rsidP="002B541D">
      <w:pPr>
        <w:pStyle w:val="BodyText"/>
        <w:rPr>
          <w:sz w:val="20"/>
          <w:szCs w:val="20"/>
        </w:rPr>
      </w:pPr>
    </w:p>
    <w:p w:rsidR="00B36776" w:rsidRPr="002B541D" w:rsidRDefault="001958D4" w:rsidP="002B541D">
      <w:pPr>
        <w:pStyle w:val="BodyText"/>
        <w:ind w:left="846"/>
        <w:rPr>
          <w:sz w:val="20"/>
          <w:szCs w:val="20"/>
        </w:rPr>
      </w:pPr>
      <w:r w:rsidRPr="002B541D">
        <w:rPr>
          <w:sz w:val="20"/>
          <w:szCs w:val="20"/>
        </w:rPr>
        <w:t>The following table provides a summary of the number of officials disciplined and outcomes:</w:t>
      </w: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37"/>
        <w:gridCol w:w="5811"/>
      </w:tblGrid>
      <w:tr w:rsidR="00B36776" w:rsidRPr="002B541D">
        <w:trPr>
          <w:trHeight w:val="415"/>
        </w:trPr>
        <w:tc>
          <w:tcPr>
            <w:tcW w:w="2837" w:type="dxa"/>
            <w:shd w:val="clear" w:color="auto" w:fill="BEBEBE"/>
          </w:tcPr>
          <w:p w:rsidR="00B36776" w:rsidRPr="002B541D" w:rsidRDefault="001958D4" w:rsidP="002B541D">
            <w:pPr>
              <w:pStyle w:val="TableParagraph"/>
              <w:rPr>
                <w:b/>
                <w:sz w:val="20"/>
                <w:szCs w:val="20"/>
              </w:rPr>
            </w:pPr>
            <w:r w:rsidRPr="002B541D">
              <w:rPr>
                <w:b/>
                <w:sz w:val="20"/>
                <w:szCs w:val="20"/>
              </w:rPr>
              <w:t>Number of Officials</w:t>
            </w:r>
          </w:p>
        </w:tc>
        <w:tc>
          <w:tcPr>
            <w:tcW w:w="5811" w:type="dxa"/>
            <w:shd w:val="clear" w:color="auto" w:fill="BEBEBE"/>
          </w:tcPr>
          <w:p w:rsidR="00B36776" w:rsidRPr="002B541D" w:rsidRDefault="001958D4" w:rsidP="002B541D">
            <w:pPr>
              <w:pStyle w:val="TableParagraph"/>
              <w:ind w:left="108"/>
              <w:rPr>
                <w:b/>
                <w:sz w:val="20"/>
                <w:szCs w:val="20"/>
              </w:rPr>
            </w:pPr>
            <w:r w:rsidRPr="002B541D">
              <w:rPr>
                <w:b/>
                <w:sz w:val="20"/>
                <w:szCs w:val="20"/>
              </w:rPr>
              <w:t>Disciplinary outcomes</w:t>
            </w:r>
          </w:p>
        </w:tc>
      </w:tr>
      <w:tr w:rsidR="00B36776" w:rsidRPr="002B541D">
        <w:trPr>
          <w:trHeight w:val="414"/>
        </w:trPr>
        <w:tc>
          <w:tcPr>
            <w:tcW w:w="2837" w:type="dxa"/>
          </w:tcPr>
          <w:p w:rsidR="00B36776" w:rsidRPr="002B541D" w:rsidRDefault="001958D4" w:rsidP="002B541D">
            <w:pPr>
              <w:pStyle w:val="TableParagraph"/>
              <w:rPr>
                <w:sz w:val="20"/>
                <w:szCs w:val="20"/>
              </w:rPr>
            </w:pPr>
            <w:r w:rsidRPr="002B541D">
              <w:rPr>
                <w:sz w:val="20"/>
                <w:szCs w:val="20"/>
              </w:rPr>
              <w:t>17</w:t>
            </w:r>
          </w:p>
        </w:tc>
        <w:tc>
          <w:tcPr>
            <w:tcW w:w="5811" w:type="dxa"/>
          </w:tcPr>
          <w:p w:rsidR="00B36776" w:rsidRPr="002B541D" w:rsidRDefault="001958D4" w:rsidP="002B541D">
            <w:pPr>
              <w:pStyle w:val="TableParagraph"/>
              <w:ind w:left="108"/>
              <w:rPr>
                <w:sz w:val="20"/>
                <w:szCs w:val="20"/>
              </w:rPr>
            </w:pPr>
            <w:r w:rsidRPr="002B541D">
              <w:rPr>
                <w:sz w:val="20"/>
                <w:szCs w:val="20"/>
              </w:rPr>
              <w:t>Written warnings</w:t>
            </w:r>
          </w:p>
        </w:tc>
      </w:tr>
      <w:tr w:rsidR="00B36776" w:rsidRPr="002B541D">
        <w:trPr>
          <w:trHeight w:val="412"/>
        </w:trPr>
        <w:tc>
          <w:tcPr>
            <w:tcW w:w="2837" w:type="dxa"/>
          </w:tcPr>
          <w:p w:rsidR="00B36776" w:rsidRPr="002B541D" w:rsidRDefault="001958D4" w:rsidP="002B541D">
            <w:pPr>
              <w:pStyle w:val="TableParagraph"/>
              <w:rPr>
                <w:sz w:val="20"/>
                <w:szCs w:val="20"/>
              </w:rPr>
            </w:pPr>
            <w:r w:rsidRPr="002B541D">
              <w:rPr>
                <w:sz w:val="20"/>
                <w:szCs w:val="20"/>
              </w:rPr>
              <w:t>15</w:t>
            </w:r>
          </w:p>
        </w:tc>
        <w:tc>
          <w:tcPr>
            <w:tcW w:w="5811" w:type="dxa"/>
          </w:tcPr>
          <w:p w:rsidR="00B36776" w:rsidRPr="002B541D" w:rsidRDefault="001958D4" w:rsidP="002B541D">
            <w:pPr>
              <w:pStyle w:val="TableParagraph"/>
              <w:ind w:left="108"/>
              <w:rPr>
                <w:sz w:val="20"/>
                <w:szCs w:val="20"/>
              </w:rPr>
            </w:pPr>
            <w:r w:rsidRPr="002B541D">
              <w:rPr>
                <w:sz w:val="20"/>
                <w:szCs w:val="20"/>
              </w:rPr>
              <w:t>Final written warnings</w:t>
            </w:r>
          </w:p>
        </w:tc>
      </w:tr>
      <w:tr w:rsidR="00B36776" w:rsidRPr="002B541D">
        <w:trPr>
          <w:trHeight w:val="414"/>
        </w:trPr>
        <w:tc>
          <w:tcPr>
            <w:tcW w:w="2837" w:type="dxa"/>
          </w:tcPr>
          <w:p w:rsidR="00B36776" w:rsidRPr="002B541D" w:rsidRDefault="001958D4" w:rsidP="002B541D">
            <w:pPr>
              <w:pStyle w:val="TableParagraph"/>
              <w:rPr>
                <w:sz w:val="20"/>
                <w:szCs w:val="20"/>
              </w:rPr>
            </w:pPr>
            <w:r w:rsidRPr="002B541D">
              <w:rPr>
                <w:sz w:val="20"/>
                <w:szCs w:val="20"/>
              </w:rPr>
              <w:t>03</w:t>
            </w:r>
          </w:p>
        </w:tc>
        <w:tc>
          <w:tcPr>
            <w:tcW w:w="5811" w:type="dxa"/>
          </w:tcPr>
          <w:p w:rsidR="00B36776" w:rsidRPr="002B541D" w:rsidRDefault="001958D4" w:rsidP="002B541D">
            <w:pPr>
              <w:pStyle w:val="TableParagraph"/>
              <w:ind w:left="108"/>
              <w:rPr>
                <w:sz w:val="20"/>
                <w:szCs w:val="20"/>
              </w:rPr>
            </w:pPr>
            <w:r w:rsidRPr="002B541D">
              <w:rPr>
                <w:sz w:val="20"/>
                <w:szCs w:val="20"/>
              </w:rPr>
              <w:t>Suspensions without Salary</w:t>
            </w:r>
          </w:p>
        </w:tc>
      </w:tr>
      <w:tr w:rsidR="00B36776" w:rsidRPr="002B541D">
        <w:trPr>
          <w:trHeight w:val="414"/>
        </w:trPr>
        <w:tc>
          <w:tcPr>
            <w:tcW w:w="2837" w:type="dxa"/>
          </w:tcPr>
          <w:p w:rsidR="00B36776" w:rsidRPr="002B541D" w:rsidRDefault="001958D4" w:rsidP="002B541D">
            <w:pPr>
              <w:pStyle w:val="TableParagraph"/>
              <w:rPr>
                <w:sz w:val="20"/>
                <w:szCs w:val="20"/>
              </w:rPr>
            </w:pPr>
            <w:r w:rsidRPr="002B541D">
              <w:rPr>
                <w:sz w:val="20"/>
                <w:szCs w:val="20"/>
              </w:rPr>
              <w:t>06</w:t>
            </w:r>
          </w:p>
        </w:tc>
        <w:tc>
          <w:tcPr>
            <w:tcW w:w="5811" w:type="dxa"/>
          </w:tcPr>
          <w:p w:rsidR="00B36776" w:rsidRPr="002B541D" w:rsidRDefault="001958D4" w:rsidP="002B541D">
            <w:pPr>
              <w:pStyle w:val="TableParagraph"/>
              <w:ind w:left="108"/>
              <w:rPr>
                <w:sz w:val="20"/>
                <w:szCs w:val="20"/>
              </w:rPr>
            </w:pPr>
            <w:r w:rsidRPr="002B541D">
              <w:rPr>
                <w:sz w:val="20"/>
                <w:szCs w:val="20"/>
              </w:rPr>
              <w:t>Verbal warnings</w:t>
            </w:r>
          </w:p>
        </w:tc>
      </w:tr>
      <w:tr w:rsidR="00B36776" w:rsidRPr="002B541D">
        <w:trPr>
          <w:trHeight w:val="414"/>
        </w:trPr>
        <w:tc>
          <w:tcPr>
            <w:tcW w:w="2837" w:type="dxa"/>
          </w:tcPr>
          <w:p w:rsidR="00B36776" w:rsidRPr="002B541D" w:rsidRDefault="001958D4" w:rsidP="002B541D">
            <w:pPr>
              <w:pStyle w:val="TableParagraph"/>
              <w:rPr>
                <w:sz w:val="20"/>
                <w:szCs w:val="20"/>
              </w:rPr>
            </w:pPr>
            <w:r w:rsidRPr="002B541D">
              <w:rPr>
                <w:sz w:val="20"/>
                <w:szCs w:val="20"/>
              </w:rPr>
              <w:t>01</w:t>
            </w:r>
          </w:p>
        </w:tc>
        <w:tc>
          <w:tcPr>
            <w:tcW w:w="5811" w:type="dxa"/>
          </w:tcPr>
          <w:p w:rsidR="00B36776" w:rsidRPr="002B541D" w:rsidRDefault="001958D4" w:rsidP="002B541D">
            <w:pPr>
              <w:pStyle w:val="TableParagraph"/>
              <w:ind w:left="108"/>
              <w:rPr>
                <w:sz w:val="20"/>
                <w:szCs w:val="20"/>
              </w:rPr>
            </w:pPr>
            <w:r w:rsidRPr="002B541D">
              <w:rPr>
                <w:sz w:val="20"/>
                <w:szCs w:val="20"/>
              </w:rPr>
              <w:t>Corrective counselling</w:t>
            </w:r>
          </w:p>
        </w:tc>
      </w:tr>
    </w:tbl>
    <w:p w:rsidR="00B36776" w:rsidRPr="002B541D" w:rsidRDefault="00B36776" w:rsidP="002B541D">
      <w:pPr>
        <w:pStyle w:val="BodyText"/>
        <w:ind w:left="841"/>
        <w:rPr>
          <w:sz w:val="20"/>
          <w:szCs w:val="20"/>
        </w:rPr>
      </w:pPr>
      <w:r w:rsidRPr="002B541D">
        <w:rPr>
          <w:sz w:val="20"/>
          <w:szCs w:val="20"/>
        </w:rPr>
      </w:r>
      <w:r w:rsidRPr="002B541D">
        <w:rPr>
          <w:sz w:val="20"/>
          <w:szCs w:val="20"/>
        </w:rPr>
        <w:pict>
          <v:shapetype id="_x0000_t202" coordsize="21600,21600" o:spt="202" path="m,l,21600r21600,l21600,xe">
            <v:stroke joinstyle="miter"/>
            <v:path gradientshapeok="t" o:connecttype="rect"/>
          </v:shapetype>
          <v:shape id="_x0000_s1026" type="#_x0000_t202" style="width:432.45pt;height:21.3pt;mso-position-horizontal-relative:char;mso-position-vertical-relative:line" filled="f" strokeweight=".48pt">
            <v:textbox inset="0,0,0,0">
              <w:txbxContent>
                <w:p w:rsidR="00B36776" w:rsidRDefault="001958D4">
                  <w:pPr>
                    <w:spacing w:line="274" w:lineRule="exact"/>
                    <w:ind w:left="103"/>
                    <w:rPr>
                      <w:b/>
                      <w:sz w:val="24"/>
                    </w:rPr>
                  </w:pPr>
                  <w:r>
                    <w:rPr>
                      <w:b/>
                      <w:sz w:val="24"/>
                    </w:rPr>
                    <w:t>Total 42</w:t>
                  </w:r>
                </w:p>
              </w:txbxContent>
            </v:textbox>
            <w10:wrap type="none"/>
            <w10:anchorlock/>
          </v:shape>
        </w:pict>
      </w:r>
    </w:p>
    <w:p w:rsidR="00B36776" w:rsidRPr="002B541D" w:rsidRDefault="00B36776" w:rsidP="002B541D">
      <w:pPr>
        <w:pStyle w:val="BodyText"/>
        <w:rPr>
          <w:sz w:val="20"/>
          <w:szCs w:val="20"/>
        </w:rPr>
      </w:pPr>
    </w:p>
    <w:p w:rsidR="00B36776" w:rsidRPr="002B541D" w:rsidRDefault="001958D4" w:rsidP="002B541D">
      <w:pPr>
        <w:pStyle w:val="BodyText"/>
        <w:ind w:left="820" w:right="402"/>
        <w:rPr>
          <w:sz w:val="20"/>
          <w:szCs w:val="20"/>
        </w:rPr>
      </w:pPr>
      <w:r w:rsidRPr="002B541D">
        <w:rPr>
          <w:sz w:val="20"/>
          <w:szCs w:val="20"/>
        </w:rPr>
        <w:t>It must be noted that of the 1082 cases investigated a large number of cases did not yield evidence to warrant sanction for irregular, fruitless and wasteful transactions. It is further emphasised that of the 136 transactions some of the 42 sanctioned offi</w:t>
      </w:r>
      <w:r w:rsidRPr="002B541D">
        <w:rPr>
          <w:sz w:val="20"/>
          <w:szCs w:val="20"/>
        </w:rPr>
        <w:t>cials may have been implicated in more than one of the identified transactions.</w:t>
      </w:r>
    </w:p>
    <w:p w:rsidR="00B36776" w:rsidRPr="002B541D" w:rsidRDefault="00B36776" w:rsidP="002B541D">
      <w:pPr>
        <w:pStyle w:val="BodyText"/>
        <w:rPr>
          <w:sz w:val="20"/>
          <w:szCs w:val="20"/>
        </w:rPr>
      </w:pPr>
    </w:p>
    <w:p w:rsidR="00B36776" w:rsidRPr="002B541D" w:rsidRDefault="001958D4" w:rsidP="002B541D">
      <w:pPr>
        <w:pStyle w:val="BodyText"/>
        <w:ind w:left="820" w:right="394"/>
        <w:rPr>
          <w:sz w:val="20"/>
          <w:szCs w:val="20"/>
        </w:rPr>
      </w:pPr>
      <w:r w:rsidRPr="002B541D">
        <w:rPr>
          <w:sz w:val="20"/>
          <w:szCs w:val="20"/>
        </w:rPr>
        <w:t>In addition to the above, the Department further investigated a total of 154 cases identified by the AGSA through a Computer Assisted Audit Techniques (CAATs) of which 30 case</w:t>
      </w:r>
      <w:r w:rsidRPr="002B541D">
        <w:rPr>
          <w:sz w:val="20"/>
          <w:szCs w:val="20"/>
        </w:rPr>
        <w:t>s related to the non-disclosure of interest by officials.</w:t>
      </w:r>
    </w:p>
    <w:p w:rsidR="00B36776" w:rsidRPr="002B541D" w:rsidRDefault="00B36776" w:rsidP="002B541D">
      <w:pPr>
        <w:pStyle w:val="BodyText"/>
        <w:rPr>
          <w:sz w:val="20"/>
          <w:szCs w:val="20"/>
        </w:rPr>
      </w:pPr>
    </w:p>
    <w:p w:rsidR="00B36776" w:rsidRPr="002B541D" w:rsidRDefault="001958D4" w:rsidP="002B541D">
      <w:pPr>
        <w:pStyle w:val="BodyText"/>
        <w:ind w:left="1000"/>
        <w:rPr>
          <w:sz w:val="20"/>
          <w:szCs w:val="20"/>
        </w:rPr>
      </w:pPr>
      <w:r w:rsidRPr="002B541D">
        <w:rPr>
          <w:sz w:val="20"/>
          <w:szCs w:val="20"/>
        </w:rPr>
        <w:t>The table below provides a summary of the outcomes investigated relating to the above 30 cases of non-disclosure of interest as follows:-</w:t>
      </w:r>
    </w:p>
    <w:tbl>
      <w:tblPr>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52"/>
        <w:gridCol w:w="6755"/>
      </w:tblGrid>
      <w:tr w:rsidR="00B36776" w:rsidRPr="002B541D">
        <w:trPr>
          <w:trHeight w:val="695"/>
        </w:trPr>
        <w:tc>
          <w:tcPr>
            <w:tcW w:w="1752" w:type="dxa"/>
            <w:tcBorders>
              <w:right w:val="single" w:sz="6" w:space="0" w:color="000000"/>
            </w:tcBorders>
            <w:shd w:val="clear" w:color="auto" w:fill="BEBEBE"/>
          </w:tcPr>
          <w:p w:rsidR="00B36776" w:rsidRPr="002B541D" w:rsidRDefault="001958D4" w:rsidP="002B541D">
            <w:pPr>
              <w:pStyle w:val="TableParagraph"/>
              <w:tabs>
                <w:tab w:val="left" w:pos="1381"/>
              </w:tabs>
              <w:ind w:left="143" w:right="129"/>
              <w:rPr>
                <w:b/>
                <w:sz w:val="20"/>
                <w:szCs w:val="20"/>
              </w:rPr>
            </w:pPr>
            <w:r w:rsidRPr="002B541D">
              <w:rPr>
                <w:b/>
                <w:sz w:val="20"/>
                <w:szCs w:val="20"/>
              </w:rPr>
              <w:t>Number</w:t>
            </w:r>
            <w:r w:rsidRPr="002B541D">
              <w:rPr>
                <w:b/>
                <w:sz w:val="20"/>
                <w:szCs w:val="20"/>
              </w:rPr>
              <w:tab/>
            </w:r>
            <w:r w:rsidRPr="002B541D">
              <w:rPr>
                <w:b/>
                <w:spacing w:val="-9"/>
                <w:sz w:val="20"/>
                <w:szCs w:val="20"/>
              </w:rPr>
              <w:t xml:space="preserve">of </w:t>
            </w:r>
            <w:r w:rsidRPr="002B541D">
              <w:rPr>
                <w:b/>
                <w:sz w:val="20"/>
                <w:szCs w:val="20"/>
              </w:rPr>
              <w:t>cases</w:t>
            </w:r>
          </w:p>
        </w:tc>
        <w:tc>
          <w:tcPr>
            <w:tcW w:w="6755" w:type="dxa"/>
            <w:tcBorders>
              <w:left w:val="single" w:sz="6" w:space="0" w:color="000000"/>
            </w:tcBorders>
            <w:shd w:val="clear" w:color="auto" w:fill="BEBEBE"/>
          </w:tcPr>
          <w:p w:rsidR="00B36776" w:rsidRPr="002B541D" w:rsidRDefault="001958D4" w:rsidP="002B541D">
            <w:pPr>
              <w:pStyle w:val="TableParagraph"/>
              <w:ind w:left="141"/>
              <w:rPr>
                <w:b/>
                <w:sz w:val="20"/>
                <w:szCs w:val="20"/>
              </w:rPr>
            </w:pPr>
            <w:r w:rsidRPr="002B541D">
              <w:rPr>
                <w:b/>
                <w:sz w:val="20"/>
                <w:szCs w:val="20"/>
              </w:rPr>
              <w:t>Outcomes/comments</w:t>
            </w:r>
          </w:p>
        </w:tc>
      </w:tr>
      <w:tr w:rsidR="00B36776" w:rsidRPr="002B541D">
        <w:trPr>
          <w:trHeight w:val="419"/>
        </w:trPr>
        <w:tc>
          <w:tcPr>
            <w:tcW w:w="1752" w:type="dxa"/>
            <w:tcBorders>
              <w:right w:val="single" w:sz="6" w:space="0" w:color="000000"/>
            </w:tcBorders>
          </w:tcPr>
          <w:p w:rsidR="00B36776" w:rsidRPr="002B541D" w:rsidRDefault="001958D4" w:rsidP="002B541D">
            <w:pPr>
              <w:pStyle w:val="TableParagraph"/>
              <w:ind w:left="143"/>
              <w:rPr>
                <w:sz w:val="20"/>
                <w:szCs w:val="20"/>
              </w:rPr>
            </w:pPr>
            <w:r w:rsidRPr="002B541D">
              <w:rPr>
                <w:sz w:val="20"/>
                <w:szCs w:val="20"/>
              </w:rPr>
              <w:lastRenderedPageBreak/>
              <w:t>08</w:t>
            </w:r>
          </w:p>
        </w:tc>
        <w:tc>
          <w:tcPr>
            <w:tcW w:w="6755" w:type="dxa"/>
            <w:tcBorders>
              <w:left w:val="single" w:sz="6" w:space="0" w:color="000000"/>
            </w:tcBorders>
          </w:tcPr>
          <w:p w:rsidR="00B36776" w:rsidRPr="002B541D" w:rsidRDefault="001958D4" w:rsidP="002B541D">
            <w:pPr>
              <w:pStyle w:val="TableParagraph"/>
              <w:ind w:left="141"/>
              <w:rPr>
                <w:sz w:val="20"/>
                <w:szCs w:val="20"/>
              </w:rPr>
            </w:pPr>
            <w:r w:rsidRPr="002B541D">
              <w:rPr>
                <w:sz w:val="20"/>
                <w:szCs w:val="20"/>
              </w:rPr>
              <w:t>Officials resigned prior to investigations being conducted</w:t>
            </w:r>
          </w:p>
        </w:tc>
      </w:tr>
      <w:tr w:rsidR="00B36776" w:rsidRPr="002B541D">
        <w:trPr>
          <w:trHeight w:val="698"/>
        </w:trPr>
        <w:tc>
          <w:tcPr>
            <w:tcW w:w="1752" w:type="dxa"/>
            <w:tcBorders>
              <w:right w:val="single" w:sz="6" w:space="0" w:color="000000"/>
            </w:tcBorders>
          </w:tcPr>
          <w:p w:rsidR="00B36776" w:rsidRPr="002B541D" w:rsidRDefault="001958D4" w:rsidP="002B541D">
            <w:pPr>
              <w:pStyle w:val="TableParagraph"/>
              <w:ind w:left="143"/>
              <w:rPr>
                <w:sz w:val="20"/>
                <w:szCs w:val="20"/>
              </w:rPr>
            </w:pPr>
            <w:r w:rsidRPr="002B541D">
              <w:rPr>
                <w:sz w:val="20"/>
                <w:szCs w:val="20"/>
              </w:rPr>
              <w:t>05</w:t>
            </w:r>
          </w:p>
        </w:tc>
        <w:tc>
          <w:tcPr>
            <w:tcW w:w="6755" w:type="dxa"/>
            <w:tcBorders>
              <w:left w:val="single" w:sz="6" w:space="0" w:color="000000"/>
            </w:tcBorders>
          </w:tcPr>
          <w:p w:rsidR="00B36776" w:rsidRPr="002B541D" w:rsidRDefault="001958D4" w:rsidP="002B541D">
            <w:pPr>
              <w:pStyle w:val="TableParagraph"/>
              <w:ind w:left="141" w:right="125"/>
              <w:rPr>
                <w:sz w:val="20"/>
                <w:szCs w:val="20"/>
              </w:rPr>
            </w:pPr>
            <w:r w:rsidRPr="002B541D">
              <w:rPr>
                <w:sz w:val="20"/>
                <w:szCs w:val="20"/>
              </w:rPr>
              <w:t>Officials were disciplined (Verbal, final written warning issued)</w:t>
            </w:r>
          </w:p>
        </w:tc>
      </w:tr>
      <w:tr w:rsidR="00B36776" w:rsidRPr="002B541D">
        <w:trPr>
          <w:trHeight w:val="419"/>
        </w:trPr>
        <w:tc>
          <w:tcPr>
            <w:tcW w:w="1752" w:type="dxa"/>
            <w:tcBorders>
              <w:right w:val="single" w:sz="6" w:space="0" w:color="000000"/>
            </w:tcBorders>
          </w:tcPr>
          <w:p w:rsidR="00B36776" w:rsidRPr="002B541D" w:rsidRDefault="001958D4" w:rsidP="002B541D">
            <w:pPr>
              <w:pStyle w:val="TableParagraph"/>
              <w:ind w:left="143"/>
              <w:rPr>
                <w:sz w:val="20"/>
                <w:szCs w:val="20"/>
              </w:rPr>
            </w:pPr>
            <w:r w:rsidRPr="002B541D">
              <w:rPr>
                <w:sz w:val="20"/>
                <w:szCs w:val="20"/>
              </w:rPr>
              <w:t>02</w:t>
            </w:r>
          </w:p>
        </w:tc>
        <w:tc>
          <w:tcPr>
            <w:tcW w:w="6755" w:type="dxa"/>
            <w:tcBorders>
              <w:left w:val="single" w:sz="6" w:space="0" w:color="000000"/>
            </w:tcBorders>
          </w:tcPr>
          <w:p w:rsidR="00B36776" w:rsidRPr="002B541D" w:rsidRDefault="001958D4" w:rsidP="002B541D">
            <w:pPr>
              <w:pStyle w:val="TableParagraph"/>
              <w:ind w:left="141"/>
              <w:rPr>
                <w:sz w:val="20"/>
                <w:szCs w:val="20"/>
              </w:rPr>
            </w:pPr>
            <w:r w:rsidRPr="002B541D">
              <w:rPr>
                <w:sz w:val="20"/>
                <w:szCs w:val="20"/>
              </w:rPr>
              <w:t>Awaiting disciplinary outcomes</w:t>
            </w:r>
          </w:p>
        </w:tc>
      </w:tr>
      <w:tr w:rsidR="00B36776" w:rsidRPr="002B541D">
        <w:trPr>
          <w:trHeight w:val="419"/>
        </w:trPr>
        <w:tc>
          <w:tcPr>
            <w:tcW w:w="1752" w:type="dxa"/>
            <w:tcBorders>
              <w:right w:val="single" w:sz="6" w:space="0" w:color="000000"/>
            </w:tcBorders>
          </w:tcPr>
          <w:p w:rsidR="00B36776" w:rsidRPr="002B541D" w:rsidRDefault="001958D4" w:rsidP="002B541D">
            <w:pPr>
              <w:pStyle w:val="TableParagraph"/>
              <w:ind w:left="143"/>
              <w:rPr>
                <w:sz w:val="20"/>
                <w:szCs w:val="20"/>
              </w:rPr>
            </w:pPr>
            <w:r w:rsidRPr="002B541D">
              <w:rPr>
                <w:sz w:val="20"/>
                <w:szCs w:val="20"/>
              </w:rPr>
              <w:t>15</w:t>
            </w:r>
          </w:p>
        </w:tc>
        <w:tc>
          <w:tcPr>
            <w:tcW w:w="6755" w:type="dxa"/>
            <w:tcBorders>
              <w:left w:val="single" w:sz="6" w:space="0" w:color="000000"/>
            </w:tcBorders>
          </w:tcPr>
          <w:p w:rsidR="00B36776" w:rsidRPr="002B541D" w:rsidRDefault="001958D4" w:rsidP="002B541D">
            <w:pPr>
              <w:pStyle w:val="TableParagraph"/>
              <w:ind w:left="141"/>
              <w:rPr>
                <w:sz w:val="20"/>
                <w:szCs w:val="20"/>
              </w:rPr>
            </w:pPr>
            <w:r w:rsidRPr="002B541D">
              <w:rPr>
                <w:sz w:val="20"/>
                <w:szCs w:val="20"/>
              </w:rPr>
              <w:t>Officials cannot be directly linked to companies.</w:t>
            </w:r>
          </w:p>
        </w:tc>
      </w:tr>
    </w:tbl>
    <w:p w:rsidR="00B36776" w:rsidRPr="002B541D" w:rsidRDefault="00B36776" w:rsidP="002B541D">
      <w:pPr>
        <w:pStyle w:val="BodyText"/>
        <w:rPr>
          <w:sz w:val="20"/>
          <w:szCs w:val="20"/>
        </w:rPr>
      </w:pPr>
    </w:p>
    <w:p w:rsidR="00B36776" w:rsidRPr="002B541D" w:rsidRDefault="001958D4" w:rsidP="002B541D">
      <w:pPr>
        <w:pStyle w:val="BodyText"/>
        <w:ind w:left="1000"/>
        <w:rPr>
          <w:sz w:val="20"/>
          <w:szCs w:val="20"/>
        </w:rPr>
      </w:pPr>
      <w:r w:rsidRPr="002B541D">
        <w:rPr>
          <w:sz w:val="20"/>
          <w:szCs w:val="20"/>
        </w:rPr>
        <w:t>The balance of 124 cases could not be pursued on merit.</w:t>
      </w:r>
    </w:p>
    <w:p w:rsidR="00B36776" w:rsidRPr="002B541D" w:rsidRDefault="00B36776" w:rsidP="002B541D">
      <w:pPr>
        <w:pStyle w:val="BodyText"/>
        <w:rPr>
          <w:sz w:val="20"/>
          <w:szCs w:val="20"/>
        </w:rPr>
      </w:pPr>
    </w:p>
    <w:p w:rsidR="00B36776" w:rsidRPr="002B541D" w:rsidRDefault="001958D4" w:rsidP="002B541D">
      <w:pPr>
        <w:pStyle w:val="BodyText"/>
        <w:ind w:left="1000" w:right="255"/>
        <w:rPr>
          <w:sz w:val="20"/>
          <w:szCs w:val="20"/>
        </w:rPr>
      </w:pPr>
      <w:r w:rsidRPr="002B541D">
        <w:rPr>
          <w:sz w:val="20"/>
          <w:szCs w:val="20"/>
        </w:rPr>
        <w:t>Furthermore, the following are cases investigated by the SIU which were referred to the Department for further processing:</w:t>
      </w:r>
    </w:p>
    <w:p w:rsidR="00B36776" w:rsidRPr="002B541D" w:rsidRDefault="001958D4" w:rsidP="002B541D">
      <w:pPr>
        <w:pStyle w:val="ListParagraph"/>
        <w:numPr>
          <w:ilvl w:val="1"/>
          <w:numId w:val="1"/>
        </w:numPr>
        <w:tabs>
          <w:tab w:val="left" w:pos="1720"/>
          <w:tab w:val="left" w:pos="1721"/>
        </w:tabs>
        <w:spacing w:before="0"/>
        <w:ind w:hanging="361"/>
        <w:rPr>
          <w:sz w:val="20"/>
          <w:szCs w:val="20"/>
        </w:rPr>
      </w:pPr>
      <w:r w:rsidRPr="002B541D">
        <w:rPr>
          <w:sz w:val="20"/>
          <w:szCs w:val="20"/>
        </w:rPr>
        <w:t xml:space="preserve">Proclamation </w:t>
      </w:r>
      <w:r w:rsidRPr="002B541D">
        <w:rPr>
          <w:b/>
          <w:sz w:val="20"/>
          <w:szCs w:val="20"/>
        </w:rPr>
        <w:t xml:space="preserve">10 of 2018: </w:t>
      </w:r>
      <w:r w:rsidRPr="002B541D">
        <w:rPr>
          <w:spacing w:val="-4"/>
          <w:sz w:val="20"/>
          <w:szCs w:val="20"/>
        </w:rPr>
        <w:t xml:space="preserve">Tenders </w:t>
      </w:r>
      <w:r w:rsidRPr="002B541D">
        <w:rPr>
          <w:sz w:val="20"/>
          <w:szCs w:val="20"/>
        </w:rPr>
        <w:t>in</w:t>
      </w:r>
      <w:r w:rsidRPr="002B541D">
        <w:rPr>
          <w:spacing w:val="-3"/>
          <w:sz w:val="20"/>
          <w:szCs w:val="20"/>
        </w:rPr>
        <w:t xml:space="preserve"> </w:t>
      </w:r>
      <w:r w:rsidRPr="002B541D">
        <w:rPr>
          <w:sz w:val="20"/>
          <w:szCs w:val="20"/>
        </w:rPr>
        <w:t>KZN;</w:t>
      </w:r>
    </w:p>
    <w:p w:rsidR="00B36776" w:rsidRPr="002B541D" w:rsidRDefault="001958D4" w:rsidP="002B541D">
      <w:pPr>
        <w:pStyle w:val="ListParagraph"/>
        <w:numPr>
          <w:ilvl w:val="1"/>
          <w:numId w:val="1"/>
        </w:numPr>
        <w:tabs>
          <w:tab w:val="left" w:pos="1720"/>
          <w:tab w:val="left" w:pos="1721"/>
        </w:tabs>
        <w:spacing w:before="0"/>
        <w:ind w:right="398"/>
        <w:rPr>
          <w:sz w:val="20"/>
          <w:szCs w:val="20"/>
        </w:rPr>
      </w:pPr>
      <w:r w:rsidRPr="002B541D">
        <w:rPr>
          <w:sz w:val="20"/>
          <w:szCs w:val="20"/>
        </w:rPr>
        <w:t xml:space="preserve">Proclamation </w:t>
      </w:r>
      <w:r w:rsidRPr="002B541D">
        <w:rPr>
          <w:b/>
          <w:sz w:val="20"/>
          <w:szCs w:val="20"/>
        </w:rPr>
        <w:t>20 of 2016</w:t>
      </w:r>
      <w:r w:rsidRPr="002B541D">
        <w:rPr>
          <w:sz w:val="20"/>
          <w:szCs w:val="20"/>
        </w:rPr>
        <w:t xml:space="preserve">: Appointment of Masetloaka Scott Wilson (PTY) </w:t>
      </w:r>
      <w:r w:rsidRPr="002B541D">
        <w:rPr>
          <w:spacing w:val="-6"/>
          <w:sz w:val="20"/>
          <w:szCs w:val="20"/>
        </w:rPr>
        <w:t>LTD</w:t>
      </w:r>
      <w:r w:rsidRPr="002B541D">
        <w:rPr>
          <w:spacing w:val="-1"/>
          <w:sz w:val="20"/>
          <w:szCs w:val="20"/>
        </w:rPr>
        <w:t xml:space="preserve"> </w:t>
      </w:r>
      <w:r w:rsidRPr="002B541D">
        <w:rPr>
          <w:sz w:val="20"/>
          <w:szCs w:val="20"/>
        </w:rPr>
        <w:t>(MSW);</w:t>
      </w:r>
    </w:p>
    <w:p w:rsidR="00B36776" w:rsidRPr="002B541D" w:rsidRDefault="001958D4" w:rsidP="002B541D">
      <w:pPr>
        <w:pStyle w:val="ListParagraph"/>
        <w:numPr>
          <w:ilvl w:val="1"/>
          <w:numId w:val="1"/>
        </w:numPr>
        <w:tabs>
          <w:tab w:val="left" w:pos="1720"/>
          <w:tab w:val="left" w:pos="1721"/>
        </w:tabs>
        <w:spacing w:before="0"/>
        <w:ind w:hanging="361"/>
        <w:rPr>
          <w:sz w:val="20"/>
          <w:szCs w:val="20"/>
        </w:rPr>
      </w:pPr>
      <w:r w:rsidRPr="002B541D">
        <w:rPr>
          <w:sz w:val="20"/>
          <w:szCs w:val="20"/>
        </w:rPr>
        <w:t xml:space="preserve">Proclamation </w:t>
      </w:r>
      <w:r w:rsidRPr="002B541D">
        <w:rPr>
          <w:b/>
          <w:sz w:val="20"/>
          <w:szCs w:val="20"/>
        </w:rPr>
        <w:t xml:space="preserve">23 of 2020: </w:t>
      </w:r>
      <w:r w:rsidRPr="002B541D">
        <w:rPr>
          <w:sz w:val="20"/>
          <w:szCs w:val="20"/>
        </w:rPr>
        <w:t>Personal Protective</w:t>
      </w:r>
      <w:r w:rsidRPr="002B541D">
        <w:rPr>
          <w:spacing w:val="-3"/>
          <w:sz w:val="20"/>
          <w:szCs w:val="20"/>
        </w:rPr>
        <w:t xml:space="preserve"> </w:t>
      </w:r>
      <w:r w:rsidRPr="002B541D">
        <w:rPr>
          <w:sz w:val="20"/>
          <w:szCs w:val="20"/>
        </w:rPr>
        <w:t>Equipment;</w:t>
      </w:r>
    </w:p>
    <w:p w:rsidR="00B36776" w:rsidRPr="002B541D" w:rsidRDefault="00B36776" w:rsidP="002B541D">
      <w:pPr>
        <w:pStyle w:val="BodyText"/>
        <w:rPr>
          <w:sz w:val="20"/>
          <w:szCs w:val="20"/>
        </w:rPr>
      </w:pPr>
    </w:p>
    <w:p w:rsidR="00B36776" w:rsidRPr="002B541D" w:rsidRDefault="001958D4" w:rsidP="002B541D">
      <w:pPr>
        <w:pStyle w:val="BodyText"/>
        <w:ind w:left="1000"/>
        <w:rPr>
          <w:sz w:val="20"/>
          <w:szCs w:val="20"/>
        </w:rPr>
      </w:pPr>
      <w:r w:rsidRPr="002B541D">
        <w:rPr>
          <w:sz w:val="20"/>
          <w:szCs w:val="20"/>
        </w:rPr>
        <w:t>The officials implicated are undergoing disciplinary processes as a result of such referrals.</w:t>
      </w:r>
    </w:p>
    <w:p w:rsidR="00B36776" w:rsidRPr="002B541D" w:rsidRDefault="00B36776" w:rsidP="002B541D">
      <w:pPr>
        <w:pStyle w:val="BodyText"/>
        <w:rPr>
          <w:sz w:val="20"/>
          <w:szCs w:val="20"/>
        </w:rPr>
      </w:pPr>
    </w:p>
    <w:p w:rsidR="00B36776" w:rsidRPr="002B541D" w:rsidRDefault="00B36776" w:rsidP="002B541D">
      <w:pPr>
        <w:pStyle w:val="BodyText"/>
        <w:rPr>
          <w:sz w:val="20"/>
          <w:szCs w:val="20"/>
        </w:rPr>
      </w:pPr>
    </w:p>
    <w:p w:rsidR="00B36776" w:rsidRPr="002B541D" w:rsidRDefault="00B36776" w:rsidP="002B541D">
      <w:pPr>
        <w:pStyle w:val="BodyText"/>
        <w:rPr>
          <w:sz w:val="20"/>
          <w:szCs w:val="20"/>
        </w:rPr>
      </w:pPr>
    </w:p>
    <w:p w:rsidR="00B36776" w:rsidRPr="002B541D" w:rsidRDefault="00B36776" w:rsidP="002B541D">
      <w:pPr>
        <w:pStyle w:val="BodyText"/>
        <w:rPr>
          <w:sz w:val="20"/>
          <w:szCs w:val="20"/>
        </w:rPr>
      </w:pPr>
    </w:p>
    <w:p w:rsidR="00B36776" w:rsidRPr="002B541D" w:rsidRDefault="001958D4" w:rsidP="002B541D">
      <w:pPr>
        <w:pStyle w:val="Heading1"/>
        <w:rPr>
          <w:sz w:val="20"/>
          <w:szCs w:val="20"/>
        </w:rPr>
      </w:pPr>
      <w:r w:rsidRPr="002B541D">
        <w:rPr>
          <w:sz w:val="20"/>
          <w:szCs w:val="20"/>
        </w:rPr>
        <w:t>END</w:t>
      </w:r>
    </w:p>
    <w:sectPr w:rsidR="00B36776" w:rsidRPr="002B541D" w:rsidSect="00B36776">
      <w:footerReference w:type="default" r:id="rId7"/>
      <w:pgSz w:w="12240" w:h="15840"/>
      <w:pgMar w:top="1440" w:right="1040" w:bottom="960" w:left="1160" w:header="0" w:footer="7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8D4" w:rsidRDefault="001958D4" w:rsidP="00B36776">
      <w:r>
        <w:separator/>
      </w:r>
    </w:p>
  </w:endnote>
  <w:endnote w:type="continuationSeparator" w:id="0">
    <w:p w:rsidR="001958D4" w:rsidRDefault="001958D4" w:rsidP="00B367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776" w:rsidRDefault="00B36776">
    <w:pPr>
      <w:pStyle w:val="BodyText"/>
      <w:spacing w:line="14" w:lineRule="auto"/>
      <w:rPr>
        <w:sz w:val="20"/>
      </w:rPr>
    </w:pPr>
    <w:r w:rsidRPr="00B36776">
      <w:pict>
        <v:shapetype id="_x0000_t202" coordsize="21600,21600" o:spt="202" path="m,l,21600r21600,l21600,xe">
          <v:stroke joinstyle="miter"/>
          <v:path gradientshapeok="t" o:connecttype="rect"/>
        </v:shapetype>
        <v:shape id="_x0000_s2050" type="#_x0000_t202" style="position:absolute;margin-left:71pt;margin-top:742.6pt;width:96.4pt;height:14.35pt;z-index:-251821056;mso-position-horizontal-relative:page;mso-position-vertical-relative:page" filled="f" stroked="f">
          <v:textbox inset="0,0,0,0">
            <w:txbxContent>
              <w:p w:rsidR="00B36776" w:rsidRDefault="001958D4">
                <w:pPr>
                  <w:spacing w:before="13"/>
                  <w:ind w:left="20"/>
                </w:pPr>
                <w:r>
                  <w:t>PQ2579-NW3055E</w:t>
                </w:r>
              </w:p>
            </w:txbxContent>
          </v:textbox>
          <w10:wrap anchorx="page" anchory="page"/>
        </v:shape>
      </w:pict>
    </w:r>
    <w:r w:rsidRPr="00B36776">
      <w:pict>
        <v:shape id="_x0000_s2049" type="#_x0000_t202" style="position:absolute;margin-left:465.65pt;margin-top:742.6pt;width:58.8pt;height:14.35pt;z-index:-251820032;mso-position-horizontal-relative:page;mso-position-vertical-relative:page" filled="f" stroked="f">
          <v:textbox inset="0,0,0,0">
            <w:txbxContent>
              <w:p w:rsidR="00B36776" w:rsidRDefault="001958D4">
                <w:pPr>
                  <w:spacing w:before="13"/>
                  <w:ind w:left="20"/>
                  <w:rPr>
                    <w:b/>
                  </w:rPr>
                </w:pPr>
                <w:r>
                  <w:t xml:space="preserve">Page </w:t>
                </w:r>
                <w:r w:rsidR="00B36776">
                  <w:fldChar w:fldCharType="begin"/>
                </w:r>
                <w:r>
                  <w:rPr>
                    <w:b/>
                  </w:rPr>
                  <w:instrText xml:space="preserve"> PAGE </w:instrText>
                </w:r>
                <w:r w:rsidR="00B36776">
                  <w:fldChar w:fldCharType="separate"/>
                </w:r>
                <w:r w:rsidR="002B541D">
                  <w:rPr>
                    <w:b/>
                    <w:noProof/>
                  </w:rPr>
                  <w:t>1</w:t>
                </w:r>
                <w:r w:rsidR="00B36776">
                  <w:fldChar w:fldCharType="end"/>
                </w:r>
                <w:r>
                  <w:rPr>
                    <w:b/>
                  </w:rPr>
                  <w:t xml:space="preserve"> </w:t>
                </w:r>
                <w:r>
                  <w:t xml:space="preserve">of </w:t>
                </w:r>
                <w:r>
                  <w:rPr>
                    <w:b/>
                  </w:rPr>
                  <w:t>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8D4" w:rsidRDefault="001958D4" w:rsidP="00B36776">
      <w:r>
        <w:separator/>
      </w:r>
    </w:p>
  </w:footnote>
  <w:footnote w:type="continuationSeparator" w:id="0">
    <w:p w:rsidR="001958D4" w:rsidRDefault="001958D4" w:rsidP="00B367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103E9"/>
    <w:multiLevelType w:val="hybridMultilevel"/>
    <w:tmpl w:val="AC78E6BC"/>
    <w:lvl w:ilvl="0" w:tplc="685E6496">
      <w:start w:val="1"/>
      <w:numFmt w:val="lowerLetter"/>
      <w:lvlText w:val="(%1)"/>
      <w:lvlJc w:val="left"/>
      <w:pPr>
        <w:ind w:left="846" w:hanging="567"/>
        <w:jc w:val="left"/>
      </w:pPr>
      <w:rPr>
        <w:rFonts w:ascii="Arial" w:eastAsia="Arial" w:hAnsi="Arial" w:cs="Arial" w:hint="default"/>
        <w:spacing w:val="-7"/>
        <w:w w:val="99"/>
        <w:sz w:val="24"/>
        <w:szCs w:val="24"/>
        <w:lang w:val="en-US" w:eastAsia="en-US" w:bidi="en-US"/>
      </w:rPr>
    </w:lvl>
    <w:lvl w:ilvl="1" w:tplc="5E7E5EEA">
      <w:numFmt w:val="bullet"/>
      <w:lvlText w:val=""/>
      <w:lvlJc w:val="left"/>
      <w:pPr>
        <w:ind w:left="1720" w:hanging="360"/>
      </w:pPr>
      <w:rPr>
        <w:rFonts w:ascii="Symbol" w:eastAsia="Symbol" w:hAnsi="Symbol" w:cs="Symbol" w:hint="default"/>
        <w:w w:val="100"/>
        <w:sz w:val="24"/>
        <w:szCs w:val="24"/>
        <w:lang w:val="en-US" w:eastAsia="en-US" w:bidi="en-US"/>
      </w:rPr>
    </w:lvl>
    <w:lvl w:ilvl="2" w:tplc="A412D444">
      <w:numFmt w:val="bullet"/>
      <w:lvlText w:val="•"/>
      <w:lvlJc w:val="left"/>
      <w:pPr>
        <w:ind w:left="2644" w:hanging="360"/>
      </w:pPr>
      <w:rPr>
        <w:rFonts w:hint="default"/>
        <w:lang w:val="en-US" w:eastAsia="en-US" w:bidi="en-US"/>
      </w:rPr>
    </w:lvl>
    <w:lvl w:ilvl="3" w:tplc="AF0CE718">
      <w:numFmt w:val="bullet"/>
      <w:lvlText w:val="•"/>
      <w:lvlJc w:val="left"/>
      <w:pPr>
        <w:ind w:left="3568" w:hanging="360"/>
      </w:pPr>
      <w:rPr>
        <w:rFonts w:hint="default"/>
        <w:lang w:val="en-US" w:eastAsia="en-US" w:bidi="en-US"/>
      </w:rPr>
    </w:lvl>
    <w:lvl w:ilvl="4" w:tplc="3336F7C6">
      <w:numFmt w:val="bullet"/>
      <w:lvlText w:val="•"/>
      <w:lvlJc w:val="left"/>
      <w:pPr>
        <w:ind w:left="4493" w:hanging="360"/>
      </w:pPr>
      <w:rPr>
        <w:rFonts w:hint="default"/>
        <w:lang w:val="en-US" w:eastAsia="en-US" w:bidi="en-US"/>
      </w:rPr>
    </w:lvl>
    <w:lvl w:ilvl="5" w:tplc="0B16AED2">
      <w:numFmt w:val="bullet"/>
      <w:lvlText w:val="•"/>
      <w:lvlJc w:val="left"/>
      <w:pPr>
        <w:ind w:left="5417" w:hanging="360"/>
      </w:pPr>
      <w:rPr>
        <w:rFonts w:hint="default"/>
        <w:lang w:val="en-US" w:eastAsia="en-US" w:bidi="en-US"/>
      </w:rPr>
    </w:lvl>
    <w:lvl w:ilvl="6" w:tplc="39D4F83E">
      <w:numFmt w:val="bullet"/>
      <w:lvlText w:val="•"/>
      <w:lvlJc w:val="left"/>
      <w:pPr>
        <w:ind w:left="6342" w:hanging="360"/>
      </w:pPr>
      <w:rPr>
        <w:rFonts w:hint="default"/>
        <w:lang w:val="en-US" w:eastAsia="en-US" w:bidi="en-US"/>
      </w:rPr>
    </w:lvl>
    <w:lvl w:ilvl="7" w:tplc="15B64FDE">
      <w:numFmt w:val="bullet"/>
      <w:lvlText w:val="•"/>
      <w:lvlJc w:val="left"/>
      <w:pPr>
        <w:ind w:left="7266" w:hanging="360"/>
      </w:pPr>
      <w:rPr>
        <w:rFonts w:hint="default"/>
        <w:lang w:val="en-US" w:eastAsia="en-US" w:bidi="en-US"/>
      </w:rPr>
    </w:lvl>
    <w:lvl w:ilvl="8" w:tplc="4F4EF7D0">
      <w:numFmt w:val="bullet"/>
      <w:lvlText w:val="•"/>
      <w:lvlJc w:val="left"/>
      <w:pPr>
        <w:ind w:left="8191"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B36776"/>
    <w:rsid w:val="001958D4"/>
    <w:rsid w:val="002B541D"/>
    <w:rsid w:val="00B367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36776"/>
    <w:rPr>
      <w:rFonts w:ascii="Arial" w:eastAsia="Arial" w:hAnsi="Arial" w:cs="Arial"/>
      <w:lang w:bidi="en-US"/>
    </w:rPr>
  </w:style>
  <w:style w:type="paragraph" w:styleId="Heading1">
    <w:name w:val="heading 1"/>
    <w:basedOn w:val="Normal"/>
    <w:uiPriority w:val="1"/>
    <w:qFormat/>
    <w:rsid w:val="00B36776"/>
    <w:pPr>
      <w:ind w:left="2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36776"/>
    <w:rPr>
      <w:sz w:val="24"/>
      <w:szCs w:val="24"/>
    </w:rPr>
  </w:style>
  <w:style w:type="paragraph" w:styleId="ListParagraph">
    <w:name w:val="List Paragraph"/>
    <w:basedOn w:val="Normal"/>
    <w:uiPriority w:val="1"/>
    <w:qFormat/>
    <w:rsid w:val="00B36776"/>
    <w:pPr>
      <w:spacing w:before="1"/>
      <w:ind w:left="1720" w:hanging="567"/>
    </w:pPr>
  </w:style>
  <w:style w:type="paragraph" w:customStyle="1" w:styleId="TableParagraph">
    <w:name w:val="Table Paragraph"/>
    <w:basedOn w:val="Normal"/>
    <w:uiPriority w:val="1"/>
    <w:qFormat/>
    <w:rsid w:val="00B36776"/>
    <w:pPr>
      <w:ind w:left="107"/>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User</cp:lastModifiedBy>
  <cp:revision>2</cp:revision>
  <dcterms:created xsi:type="dcterms:W3CDTF">2022-01-20T19:43:00Z</dcterms:created>
  <dcterms:modified xsi:type="dcterms:W3CDTF">2022-01-20T20:09:00Z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Microsoft® Word 2016</vt:lpwstr>
  </property>
  <property fmtid="{D5CDD505-2E9C-101B-9397-08002B2CF9AE}" pid="4" name="LastSaved">
    <vt:filetime>2022-01-20T00:00:00Z</vt:filetime>
  </property>
</Properties>
</file>