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F6083">
        <w:rPr>
          <w:b/>
          <w:bCs/>
          <w:sz w:val="24"/>
          <w:u w:val="single"/>
        </w:rPr>
        <w:t>2</w:t>
      </w:r>
      <w:r w:rsidR="00187EBF">
        <w:rPr>
          <w:b/>
          <w:bCs/>
          <w:sz w:val="24"/>
          <w:u w:val="single"/>
        </w:rPr>
        <w:t>5</w:t>
      </w:r>
      <w:r w:rsidR="003138BE">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3138BE" w:rsidRPr="003138BE" w:rsidRDefault="003138BE" w:rsidP="003138BE">
      <w:pPr>
        <w:spacing w:before="100" w:beforeAutospacing="1" w:after="100" w:afterAutospacing="1"/>
        <w:ind w:left="720" w:hanging="720"/>
        <w:jc w:val="both"/>
        <w:outlineLvl w:val="0"/>
        <w:rPr>
          <w:b/>
          <w:sz w:val="24"/>
          <w:u w:val="single"/>
        </w:rPr>
      </w:pPr>
      <w:r w:rsidRPr="003138BE">
        <w:rPr>
          <w:b/>
          <w:sz w:val="24"/>
          <w:u w:val="single"/>
        </w:rPr>
        <w:t xml:space="preserve">Mrs M R </w:t>
      </w:r>
      <w:proofErr w:type="spellStart"/>
      <w:r w:rsidRPr="003138BE">
        <w:rPr>
          <w:b/>
          <w:sz w:val="24"/>
          <w:u w:val="single"/>
        </w:rPr>
        <w:t>Mohlala</w:t>
      </w:r>
      <w:proofErr w:type="spellEnd"/>
      <w:r w:rsidRPr="003138BE">
        <w:rPr>
          <w:b/>
          <w:sz w:val="24"/>
          <w:u w:val="single"/>
        </w:rPr>
        <w:t xml:space="preserve"> (EFF) to ask the Minister of Health</w:t>
      </w:r>
      <w:r w:rsidR="00A63C77" w:rsidRPr="003138BE">
        <w:rPr>
          <w:b/>
          <w:sz w:val="24"/>
          <w:u w:val="single"/>
        </w:rPr>
        <w:fldChar w:fldCharType="begin"/>
      </w:r>
      <w:r w:rsidRPr="003138BE">
        <w:rPr>
          <w:sz w:val="24"/>
          <w:u w:val="single"/>
        </w:rPr>
        <w:instrText xml:space="preserve"> XE "</w:instrText>
      </w:r>
      <w:r w:rsidRPr="003138BE">
        <w:rPr>
          <w:b/>
          <w:sz w:val="24"/>
          <w:u w:val="single"/>
        </w:rPr>
        <w:instrText>Health</w:instrText>
      </w:r>
      <w:r w:rsidRPr="003138BE">
        <w:rPr>
          <w:sz w:val="24"/>
          <w:u w:val="single"/>
        </w:rPr>
        <w:instrText xml:space="preserve">" </w:instrText>
      </w:r>
      <w:r w:rsidR="00A63C77" w:rsidRPr="003138BE">
        <w:rPr>
          <w:b/>
          <w:sz w:val="24"/>
          <w:u w:val="single"/>
        </w:rPr>
        <w:fldChar w:fldCharType="end"/>
      </w:r>
      <w:r w:rsidRPr="003138BE">
        <w:rPr>
          <w:b/>
          <w:sz w:val="24"/>
          <w:u w:val="single"/>
        </w:rPr>
        <w:t>:</w:t>
      </w:r>
    </w:p>
    <w:p w:rsidR="00786C98" w:rsidRPr="00B83E50" w:rsidRDefault="003138BE" w:rsidP="003138BE">
      <w:pPr>
        <w:pStyle w:val="PlainText"/>
        <w:jc w:val="both"/>
        <w:rPr>
          <w:rFonts w:ascii="Arial" w:hAnsi="Arial" w:cs="Arial"/>
          <w:sz w:val="24"/>
          <w:szCs w:val="24"/>
        </w:rPr>
      </w:pPr>
      <w:r w:rsidRPr="003138BE">
        <w:rPr>
          <w:rFonts w:ascii="Arial" w:hAnsi="Arial" w:cs="Arial"/>
          <w:sz w:val="24"/>
          <w:szCs w:val="24"/>
        </w:rPr>
        <w:t xml:space="preserve">What (a) total number of posts are vacant at the Dr George </w:t>
      </w:r>
      <w:proofErr w:type="spellStart"/>
      <w:r w:rsidRPr="003138BE">
        <w:rPr>
          <w:rFonts w:ascii="Arial" w:hAnsi="Arial" w:cs="Arial"/>
          <w:sz w:val="24"/>
          <w:szCs w:val="24"/>
        </w:rPr>
        <w:t>Mukhari</w:t>
      </w:r>
      <w:proofErr w:type="spellEnd"/>
      <w:r w:rsidRPr="003138BE">
        <w:rPr>
          <w:rFonts w:ascii="Arial" w:hAnsi="Arial" w:cs="Arial"/>
          <w:sz w:val="24"/>
          <w:szCs w:val="24"/>
        </w:rPr>
        <w:t xml:space="preserve"> Academic Hospital in Ga-Rankuwa, Pretoria, (b) are the reasons that his department has struggled to fill the specified vacancies and (c) impact has he found the vacancies have on the ability of the specified hospital to provide quality health care</w:t>
      </w:r>
      <w:r w:rsidR="00C5710B">
        <w:rPr>
          <w:rFonts w:ascii="Arial" w:hAnsi="Arial" w:cs="Arial"/>
          <w:sz w:val="24"/>
          <w:szCs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82767">
        <w:rPr>
          <w:color w:val="000000"/>
        </w:rPr>
        <w:t>25</w:t>
      </w:r>
      <w:r w:rsidR="00C5710B">
        <w:rPr>
          <w:color w:val="000000"/>
        </w:rPr>
        <w:t>9</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63190A" w:rsidRPr="0063190A" w:rsidRDefault="0063190A" w:rsidP="0063190A">
      <w:pPr>
        <w:pStyle w:val="ListParagraph"/>
        <w:numPr>
          <w:ilvl w:val="0"/>
          <w:numId w:val="49"/>
        </w:numPr>
        <w:spacing w:before="100" w:beforeAutospacing="1" w:after="100" w:afterAutospacing="1"/>
        <w:ind w:hanging="720"/>
        <w:jc w:val="both"/>
        <w:outlineLvl w:val="0"/>
        <w:rPr>
          <w:color w:val="000000"/>
          <w:sz w:val="24"/>
        </w:rPr>
      </w:pPr>
      <w:r w:rsidRPr="0063190A">
        <w:rPr>
          <w:color w:val="000000"/>
          <w:sz w:val="24"/>
        </w:rPr>
        <w:t>According to the Gauteng Provincial Department of Health, (a) the number of vacant funded posts as at 25 February 2021 is 544 posts.  The breakdown is as follows:</w:t>
      </w:r>
    </w:p>
    <w:tbl>
      <w:tblPr>
        <w:tblW w:w="9639" w:type="dxa"/>
        <w:tblInd w:w="704" w:type="dxa"/>
        <w:tblLook w:val="04A0"/>
      </w:tblPr>
      <w:tblGrid>
        <w:gridCol w:w="5670"/>
        <w:gridCol w:w="3969"/>
      </w:tblGrid>
      <w:tr w:rsidR="0063190A" w:rsidRPr="0063190A" w:rsidTr="0063190A">
        <w:trPr>
          <w:trHeight w:val="300"/>
        </w:trPr>
        <w:tc>
          <w:tcPr>
            <w:tcW w:w="5670"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rsidR="0063190A" w:rsidRPr="0063190A" w:rsidRDefault="0063190A" w:rsidP="0063190A">
            <w:pPr>
              <w:spacing w:before="100" w:beforeAutospacing="1" w:after="100" w:afterAutospacing="1"/>
              <w:jc w:val="both"/>
              <w:outlineLvl w:val="0"/>
              <w:rPr>
                <w:b/>
                <w:bCs/>
                <w:color w:val="000000"/>
                <w:sz w:val="24"/>
              </w:rPr>
            </w:pPr>
            <w:r w:rsidRPr="0063190A">
              <w:rPr>
                <w:b/>
                <w:bCs/>
                <w:color w:val="000000"/>
                <w:sz w:val="24"/>
              </w:rPr>
              <w:t>Row Labels</w:t>
            </w:r>
          </w:p>
        </w:tc>
        <w:tc>
          <w:tcPr>
            <w:tcW w:w="3969"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rsidR="0063190A" w:rsidRPr="0063190A" w:rsidRDefault="0063190A" w:rsidP="0063190A">
            <w:pPr>
              <w:spacing w:before="100" w:beforeAutospacing="1" w:after="100" w:afterAutospacing="1"/>
              <w:jc w:val="both"/>
              <w:outlineLvl w:val="0"/>
              <w:rPr>
                <w:b/>
                <w:bCs/>
                <w:color w:val="000000"/>
                <w:sz w:val="24"/>
              </w:rPr>
            </w:pPr>
            <w:r w:rsidRPr="0063190A">
              <w:rPr>
                <w:b/>
                <w:bCs/>
                <w:color w:val="000000"/>
                <w:sz w:val="24"/>
              </w:rPr>
              <w:t>Number of Posts</w:t>
            </w:r>
          </w:p>
        </w:tc>
      </w:tr>
      <w:tr w:rsidR="0063190A" w:rsidRPr="0063190A" w:rsidTr="0063190A">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Administration Staff</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34</w:t>
            </w:r>
          </w:p>
        </w:tc>
      </w:tr>
      <w:tr w:rsidR="0063190A" w:rsidRPr="0063190A" w:rsidTr="0063190A">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Allied Professionals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79</w:t>
            </w:r>
          </w:p>
        </w:tc>
      </w:tr>
      <w:tr w:rsidR="0063190A" w:rsidRPr="0063190A" w:rsidTr="0063190A">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Allied Support Staff</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6</w:t>
            </w:r>
          </w:p>
        </w:tc>
      </w:tr>
      <w:tr w:rsidR="0063190A" w:rsidRPr="0063190A" w:rsidTr="0063190A">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Clinical Professionals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119</w:t>
            </w:r>
          </w:p>
        </w:tc>
      </w:tr>
      <w:tr w:rsidR="0063190A" w:rsidRPr="0063190A" w:rsidTr="0063190A">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Management Professionals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1</w:t>
            </w:r>
          </w:p>
        </w:tc>
      </w:tr>
      <w:tr w:rsidR="0063190A" w:rsidRPr="0063190A" w:rsidTr="0063190A">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Nursing Professionals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238</w:t>
            </w:r>
          </w:p>
        </w:tc>
      </w:tr>
      <w:tr w:rsidR="0063190A" w:rsidRPr="0063190A" w:rsidTr="0063190A">
        <w:trPr>
          <w:trHeight w:val="300"/>
        </w:trPr>
        <w:tc>
          <w:tcPr>
            <w:tcW w:w="5670" w:type="dxa"/>
            <w:tcBorders>
              <w:top w:val="single" w:sz="4" w:space="0" w:color="auto"/>
              <w:left w:val="single" w:sz="4" w:space="0" w:color="auto"/>
              <w:bottom w:val="nil"/>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Support Staff</w:t>
            </w:r>
          </w:p>
        </w:tc>
        <w:tc>
          <w:tcPr>
            <w:tcW w:w="3969" w:type="dxa"/>
            <w:tcBorders>
              <w:top w:val="single" w:sz="4" w:space="0" w:color="auto"/>
              <w:left w:val="single" w:sz="4" w:space="0" w:color="auto"/>
              <w:bottom w:val="nil"/>
              <w:right w:val="single" w:sz="4" w:space="0" w:color="auto"/>
            </w:tcBorders>
            <w:shd w:val="clear" w:color="auto" w:fill="auto"/>
            <w:noWrap/>
            <w:vAlign w:val="bottom"/>
            <w:hideMark/>
          </w:tcPr>
          <w:p w:rsidR="0063190A" w:rsidRPr="0063190A" w:rsidRDefault="0063190A" w:rsidP="0063190A">
            <w:pPr>
              <w:spacing w:before="100" w:beforeAutospacing="1" w:after="100" w:afterAutospacing="1"/>
              <w:jc w:val="both"/>
              <w:outlineLvl w:val="0"/>
              <w:rPr>
                <w:color w:val="000000"/>
                <w:sz w:val="24"/>
              </w:rPr>
            </w:pPr>
            <w:r w:rsidRPr="0063190A">
              <w:rPr>
                <w:color w:val="000000"/>
                <w:sz w:val="24"/>
              </w:rPr>
              <w:t>67</w:t>
            </w:r>
          </w:p>
        </w:tc>
      </w:tr>
      <w:tr w:rsidR="0063190A" w:rsidRPr="0063190A" w:rsidTr="0063190A">
        <w:trPr>
          <w:trHeight w:val="300"/>
        </w:trPr>
        <w:tc>
          <w:tcPr>
            <w:tcW w:w="567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rsidR="0063190A" w:rsidRPr="0063190A" w:rsidRDefault="0063190A" w:rsidP="0063190A">
            <w:pPr>
              <w:spacing w:before="100" w:beforeAutospacing="1" w:after="100" w:afterAutospacing="1"/>
              <w:jc w:val="both"/>
              <w:outlineLvl w:val="0"/>
              <w:rPr>
                <w:b/>
                <w:bCs/>
                <w:color w:val="000000"/>
                <w:sz w:val="24"/>
              </w:rPr>
            </w:pPr>
            <w:r w:rsidRPr="0063190A">
              <w:rPr>
                <w:b/>
                <w:bCs/>
                <w:color w:val="000000"/>
                <w:sz w:val="24"/>
              </w:rPr>
              <w:t>Grand Total</w:t>
            </w:r>
          </w:p>
        </w:tc>
        <w:tc>
          <w:tcPr>
            <w:tcW w:w="3969"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rsidR="0063190A" w:rsidRPr="0063190A" w:rsidRDefault="0063190A" w:rsidP="0063190A">
            <w:pPr>
              <w:spacing w:before="100" w:beforeAutospacing="1" w:after="100" w:afterAutospacing="1"/>
              <w:jc w:val="both"/>
              <w:outlineLvl w:val="0"/>
              <w:rPr>
                <w:b/>
                <w:bCs/>
                <w:color w:val="000000"/>
                <w:sz w:val="24"/>
              </w:rPr>
            </w:pPr>
            <w:r w:rsidRPr="0063190A">
              <w:rPr>
                <w:b/>
                <w:bCs/>
                <w:color w:val="000000"/>
                <w:sz w:val="24"/>
              </w:rPr>
              <w:t>544</w:t>
            </w:r>
          </w:p>
        </w:tc>
      </w:tr>
    </w:tbl>
    <w:p w:rsidR="0063190A" w:rsidRPr="0063190A" w:rsidRDefault="0063190A" w:rsidP="0063190A">
      <w:pPr>
        <w:spacing w:before="100" w:beforeAutospacing="1" w:after="100" w:afterAutospacing="1"/>
        <w:ind w:left="709"/>
        <w:jc w:val="both"/>
        <w:outlineLvl w:val="0"/>
        <w:rPr>
          <w:color w:val="000000"/>
          <w:sz w:val="24"/>
        </w:rPr>
      </w:pPr>
      <w:r w:rsidRPr="0063190A">
        <w:rPr>
          <w:color w:val="000000"/>
          <w:sz w:val="24"/>
        </w:rPr>
        <w:t xml:space="preserve">The process of replacing vacated posts is a decentralised function and the Hospital Management ensures that vacated posts are filled continuously on a monthly basis with priority given to core functions (i.e. health professions categories). </w:t>
      </w:r>
    </w:p>
    <w:p w:rsidR="0063190A" w:rsidRPr="0063190A" w:rsidRDefault="0063190A" w:rsidP="0063190A">
      <w:pPr>
        <w:spacing w:before="100" w:beforeAutospacing="1" w:after="100" w:afterAutospacing="1"/>
        <w:ind w:left="709" w:hanging="709"/>
        <w:jc w:val="both"/>
        <w:outlineLvl w:val="0"/>
        <w:rPr>
          <w:b/>
          <w:color w:val="000000"/>
          <w:sz w:val="24"/>
        </w:rPr>
      </w:pPr>
      <w:r w:rsidRPr="0063190A">
        <w:rPr>
          <w:color w:val="000000"/>
          <w:sz w:val="24"/>
        </w:rPr>
        <w:t xml:space="preserve">(b) </w:t>
      </w:r>
      <w:r>
        <w:rPr>
          <w:color w:val="000000"/>
          <w:sz w:val="24"/>
        </w:rPr>
        <w:tab/>
      </w:r>
      <w:r w:rsidRPr="0063190A">
        <w:rPr>
          <w:color w:val="000000"/>
          <w:sz w:val="24"/>
        </w:rPr>
        <w:t xml:space="preserve">Some of the reasons that the Hospital has struggled </w:t>
      </w:r>
      <w:r>
        <w:rPr>
          <w:color w:val="000000"/>
          <w:sz w:val="24"/>
        </w:rPr>
        <w:t xml:space="preserve">with </w:t>
      </w:r>
      <w:r w:rsidRPr="0063190A">
        <w:rPr>
          <w:color w:val="000000"/>
          <w:sz w:val="24"/>
        </w:rPr>
        <w:t>to fill the specified vacancies include but not limited to a recurring challenge of limited skills of Specialised Nurses Categories in the Country (limited resources available). The recruitment of Clinicians is also a challenge as some of the candidates prefer to work in other Academic and Tertiar</w:t>
      </w:r>
      <w:r>
        <w:rPr>
          <w:color w:val="000000"/>
          <w:sz w:val="24"/>
        </w:rPr>
        <w:t xml:space="preserve">y Institutions like Steve </w:t>
      </w:r>
      <w:proofErr w:type="spellStart"/>
      <w:r>
        <w:rPr>
          <w:color w:val="000000"/>
          <w:sz w:val="24"/>
        </w:rPr>
        <w:t>Biko</w:t>
      </w:r>
      <w:proofErr w:type="spellEnd"/>
      <w:r>
        <w:rPr>
          <w:color w:val="000000"/>
          <w:sz w:val="24"/>
        </w:rPr>
        <w:t xml:space="preserve"> A</w:t>
      </w:r>
      <w:r w:rsidRPr="0063190A">
        <w:rPr>
          <w:color w:val="000000"/>
          <w:sz w:val="24"/>
        </w:rPr>
        <w:t xml:space="preserve">cademic Hospital and Dr. George </w:t>
      </w:r>
      <w:proofErr w:type="spellStart"/>
      <w:r w:rsidRPr="0063190A">
        <w:rPr>
          <w:color w:val="000000"/>
          <w:sz w:val="24"/>
        </w:rPr>
        <w:t>Mukhari</w:t>
      </w:r>
      <w:proofErr w:type="spellEnd"/>
      <w:r w:rsidRPr="0063190A">
        <w:rPr>
          <w:color w:val="000000"/>
          <w:sz w:val="24"/>
        </w:rPr>
        <w:t xml:space="preserve"> Academic Hospital lose out because of their geographic area. The Hospital is also affected by the budget reductions under Cost of Employer (COE) experienced in the public health sector and the filing of most or all the 544 posts will result in over-expenditure. </w:t>
      </w:r>
    </w:p>
    <w:p w:rsidR="00415B19" w:rsidRPr="0063190A" w:rsidRDefault="0063190A" w:rsidP="0063190A">
      <w:pPr>
        <w:spacing w:before="100" w:beforeAutospacing="1" w:after="100" w:afterAutospacing="1"/>
        <w:ind w:left="709" w:hanging="709"/>
        <w:jc w:val="both"/>
        <w:outlineLvl w:val="0"/>
        <w:rPr>
          <w:color w:val="000000"/>
          <w:sz w:val="24"/>
        </w:rPr>
      </w:pPr>
      <w:r w:rsidRPr="0063190A">
        <w:rPr>
          <w:color w:val="000000"/>
          <w:sz w:val="24"/>
        </w:rPr>
        <w:t xml:space="preserve">(c) </w:t>
      </w:r>
      <w:r>
        <w:rPr>
          <w:color w:val="000000"/>
          <w:sz w:val="24"/>
        </w:rPr>
        <w:tab/>
      </w:r>
      <w:r w:rsidRPr="0063190A">
        <w:rPr>
          <w:color w:val="000000"/>
          <w:sz w:val="24"/>
        </w:rPr>
        <w:t>To mitigate this challenge, management appoints experienced Professional Nurses in those speciality areas who are capable of dealing with work demands. Continuous support is given to these nurses through training programmes and supervision. The Hospital has further put in place mechanisms to minimise the impact of vacant posts on service delivery through task sharing, overtime and rotation of staff.</w:t>
      </w:r>
    </w:p>
    <w:p w:rsidR="00E238C2" w:rsidRPr="00415B19" w:rsidRDefault="00E238C2" w:rsidP="00C47DA6">
      <w:pPr>
        <w:pStyle w:val="BodyText"/>
        <w:rPr>
          <w:b/>
          <w:bCs/>
          <w:sz w:val="24"/>
          <w:lang w:val="en-GB"/>
        </w:rPr>
      </w:pPr>
      <w:bookmarkStart w:id="0" w:name="_GoBack"/>
      <w:bookmarkEnd w:id="0"/>
      <w:r w:rsidRPr="00415B19">
        <w:rPr>
          <w:sz w:val="24"/>
          <w:lang w:val="en-GB"/>
        </w:rPr>
        <w:t>END.</w:t>
      </w:r>
    </w:p>
    <w:sectPr w:rsidR="00E238C2" w:rsidRPr="00415B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E6" w:rsidRDefault="008E10E6">
      <w:r>
        <w:separator/>
      </w:r>
    </w:p>
  </w:endnote>
  <w:endnote w:type="continuationSeparator" w:id="0">
    <w:p w:rsidR="008E10E6" w:rsidRDefault="008E1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63C7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63C7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3190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E6" w:rsidRDefault="008E10E6">
      <w:r>
        <w:separator/>
      </w:r>
    </w:p>
  </w:footnote>
  <w:footnote w:type="continuationSeparator" w:id="0">
    <w:p w:rsidR="008E10E6" w:rsidRDefault="008E1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1E910E9"/>
    <w:multiLevelType w:val="hybridMultilevel"/>
    <w:tmpl w:val="65107ED4"/>
    <w:lvl w:ilvl="0" w:tplc="C63EC9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3EC9"/>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627"/>
    <w:rsid w:val="003C29E4"/>
    <w:rsid w:val="003C3FF7"/>
    <w:rsid w:val="003C4801"/>
    <w:rsid w:val="003C68AC"/>
    <w:rsid w:val="003D41FE"/>
    <w:rsid w:val="003D5634"/>
    <w:rsid w:val="003D6B80"/>
    <w:rsid w:val="003E0AC8"/>
    <w:rsid w:val="003E5508"/>
    <w:rsid w:val="003F3650"/>
    <w:rsid w:val="003F3EB8"/>
    <w:rsid w:val="003F693D"/>
    <w:rsid w:val="003F6F06"/>
    <w:rsid w:val="0040781B"/>
    <w:rsid w:val="00413E11"/>
    <w:rsid w:val="004149EE"/>
    <w:rsid w:val="00415B19"/>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190A"/>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6861"/>
    <w:rsid w:val="006F7E16"/>
    <w:rsid w:val="007019E2"/>
    <w:rsid w:val="00713A4E"/>
    <w:rsid w:val="0071681E"/>
    <w:rsid w:val="00721839"/>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10E6"/>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63C77"/>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2021-03-14T15:18:00Z</dcterms:created>
  <dcterms:modified xsi:type="dcterms:W3CDTF">2021-03-14T15:18:00Z</dcterms:modified>
</cp:coreProperties>
</file>