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7" w:rsidRPr="00271301" w:rsidRDefault="00EE39A7" w:rsidP="00EE39A7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r w:rsidRPr="00271301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A7" w:rsidRPr="00271301" w:rsidRDefault="00EE39A7" w:rsidP="00EE39A7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:rsidR="00EE39A7" w:rsidRPr="00271301" w:rsidRDefault="00EE39A7" w:rsidP="00EE39A7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71301">
        <w:rPr>
          <w:rFonts w:cs="Arial"/>
          <w:b/>
          <w:sz w:val="22"/>
          <w:szCs w:val="22"/>
        </w:rPr>
        <w:t>DEPARTMENT: PUBLIC ENTERPRISES</w:t>
      </w:r>
    </w:p>
    <w:p w:rsidR="00AD3BA4" w:rsidRDefault="00EE39A7" w:rsidP="00AD3BA4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71301">
        <w:rPr>
          <w:rFonts w:cs="Arial"/>
          <w:b/>
          <w:sz w:val="22"/>
          <w:szCs w:val="22"/>
        </w:rPr>
        <w:t>REPUBLIC OF SOUTH AFRICA</w:t>
      </w:r>
    </w:p>
    <w:p w:rsidR="00EE39A7" w:rsidRPr="00271301" w:rsidRDefault="00EE39A7" w:rsidP="00AD3BA4">
      <w:pPr>
        <w:spacing w:line="276" w:lineRule="auto"/>
        <w:ind w:left="-630" w:right="328" w:firstLine="90"/>
        <w:rPr>
          <w:rFonts w:cs="Arial"/>
          <w:b/>
          <w:sz w:val="22"/>
          <w:szCs w:val="22"/>
        </w:rPr>
      </w:pPr>
      <w:r w:rsidRPr="00271301">
        <w:rPr>
          <w:rFonts w:cs="Arial"/>
          <w:b/>
          <w:sz w:val="22"/>
          <w:szCs w:val="22"/>
        </w:rPr>
        <w:t>NATIONAL ASSEMBLY</w:t>
      </w:r>
    </w:p>
    <w:p w:rsidR="00AD3BA4" w:rsidRDefault="00AD3BA4" w:rsidP="00657BBF">
      <w:pPr>
        <w:ind w:left="-567" w:right="328"/>
        <w:rPr>
          <w:rFonts w:cs="Arial"/>
          <w:b/>
          <w:bCs/>
          <w:szCs w:val="24"/>
        </w:rPr>
      </w:pPr>
    </w:p>
    <w:p w:rsidR="007E334E" w:rsidRPr="00C762C6" w:rsidRDefault="007E334E" w:rsidP="00657BBF">
      <w:pPr>
        <w:ind w:left="-567" w:right="328"/>
        <w:rPr>
          <w:rFonts w:cs="Arial"/>
          <w:b/>
          <w:bCs/>
          <w:szCs w:val="24"/>
        </w:rPr>
      </w:pPr>
      <w:r w:rsidRPr="00C762C6">
        <w:rPr>
          <w:rFonts w:cs="Arial"/>
          <w:b/>
          <w:bCs/>
          <w:szCs w:val="24"/>
        </w:rPr>
        <w:t xml:space="preserve">QUESTION NO.: </w:t>
      </w:r>
      <w:r w:rsidR="006D0B29" w:rsidRPr="00C762C6">
        <w:rPr>
          <w:rFonts w:cs="Arial"/>
          <w:b/>
          <w:bCs/>
          <w:szCs w:val="24"/>
        </w:rPr>
        <w:t xml:space="preserve"> </w:t>
      </w:r>
      <w:r w:rsidR="0005778C" w:rsidRPr="00C762C6">
        <w:rPr>
          <w:rFonts w:cs="Arial"/>
          <w:b/>
          <w:bCs/>
          <w:szCs w:val="24"/>
        </w:rPr>
        <w:t xml:space="preserve"> 256</w:t>
      </w:r>
      <w:r w:rsidR="006D0B29" w:rsidRPr="00C762C6">
        <w:rPr>
          <w:rFonts w:cs="Arial"/>
          <w:b/>
          <w:bCs/>
          <w:szCs w:val="24"/>
        </w:rPr>
        <w:t>5</w:t>
      </w:r>
      <w:r w:rsidR="0005778C" w:rsidRPr="00C762C6">
        <w:rPr>
          <w:rFonts w:cs="Arial"/>
          <w:b/>
          <w:bCs/>
          <w:szCs w:val="24"/>
        </w:rPr>
        <w:t xml:space="preserve"> </w:t>
      </w:r>
      <w:r w:rsidR="006D0B29" w:rsidRPr="00C762C6">
        <w:rPr>
          <w:rFonts w:cs="Arial"/>
          <w:b/>
          <w:bCs/>
          <w:szCs w:val="24"/>
        </w:rPr>
        <w:t xml:space="preserve"> </w:t>
      </w:r>
    </w:p>
    <w:p w:rsidR="0005778C" w:rsidRPr="00C762C6" w:rsidRDefault="0005778C" w:rsidP="00657BBF">
      <w:pPr>
        <w:ind w:left="-567" w:right="-523"/>
        <w:jc w:val="both"/>
        <w:rPr>
          <w:szCs w:val="24"/>
        </w:rPr>
      </w:pPr>
    </w:p>
    <w:p w:rsidR="0028680F" w:rsidRPr="00C762C6" w:rsidRDefault="0028680F" w:rsidP="00657BBF">
      <w:pPr>
        <w:ind w:left="-567" w:right="-523"/>
        <w:jc w:val="both"/>
        <w:rPr>
          <w:b/>
          <w:szCs w:val="24"/>
        </w:rPr>
      </w:pPr>
      <w:r w:rsidRPr="00C762C6">
        <w:rPr>
          <w:b/>
          <w:szCs w:val="24"/>
        </w:rPr>
        <w:t xml:space="preserve">2565. Mr W M Madisha (Cope) to ask the Minister of Public Enterprises: </w:t>
      </w:r>
    </w:p>
    <w:p w:rsidR="0005778C" w:rsidRPr="00C762C6" w:rsidRDefault="0005778C" w:rsidP="00657BBF">
      <w:pPr>
        <w:ind w:left="-567" w:right="-523"/>
        <w:jc w:val="both"/>
        <w:rPr>
          <w:szCs w:val="24"/>
        </w:rPr>
      </w:pPr>
    </w:p>
    <w:p w:rsidR="0028680F" w:rsidRPr="00C762C6" w:rsidRDefault="0028680F" w:rsidP="00657BBF">
      <w:pPr>
        <w:ind w:left="-567" w:right="-523"/>
        <w:jc w:val="both"/>
        <w:rPr>
          <w:szCs w:val="24"/>
        </w:rPr>
      </w:pPr>
      <w:r w:rsidRPr="00C762C6">
        <w:rPr>
          <w:szCs w:val="24"/>
        </w:rPr>
        <w:t>Whether the reported R290 million loan by the Johannesburg Metropolitan Municipality to Denel was lawful; if not, what steps are being taken to ensure that the money is being repaid in this regard?      NW2855E</w:t>
      </w:r>
    </w:p>
    <w:p w:rsidR="00924941" w:rsidRPr="00C762C6" w:rsidRDefault="00924941" w:rsidP="00657BBF">
      <w:pPr>
        <w:ind w:left="-567" w:right="-523"/>
        <w:rPr>
          <w:rFonts w:cs="Arial"/>
          <w:b/>
          <w:szCs w:val="24"/>
        </w:rPr>
      </w:pPr>
    </w:p>
    <w:p w:rsidR="00D92646" w:rsidRPr="00C762C6" w:rsidRDefault="00EE39A7" w:rsidP="00657BBF">
      <w:pPr>
        <w:ind w:left="-567" w:right="-523"/>
        <w:rPr>
          <w:rFonts w:cs="Arial"/>
          <w:b/>
          <w:szCs w:val="24"/>
        </w:rPr>
      </w:pPr>
      <w:r w:rsidRPr="00C762C6">
        <w:rPr>
          <w:rFonts w:cs="Arial"/>
          <w:b/>
          <w:szCs w:val="24"/>
        </w:rPr>
        <w:t>RESPONSE:</w:t>
      </w:r>
    </w:p>
    <w:p w:rsidR="00EE39A7" w:rsidRPr="00C762C6" w:rsidRDefault="00EE39A7" w:rsidP="00657BBF">
      <w:pPr>
        <w:ind w:left="-567" w:right="-523"/>
        <w:rPr>
          <w:rFonts w:cs="Arial"/>
          <w:szCs w:val="24"/>
        </w:rPr>
      </w:pPr>
    </w:p>
    <w:p w:rsidR="00EE39A7" w:rsidRPr="00C762C6" w:rsidRDefault="00EE39A7" w:rsidP="00657BBF">
      <w:pPr>
        <w:ind w:left="-567" w:right="-523"/>
        <w:rPr>
          <w:rFonts w:cs="Arial"/>
          <w:szCs w:val="24"/>
        </w:rPr>
      </w:pPr>
      <w:r w:rsidRPr="00C762C6">
        <w:rPr>
          <w:rFonts w:cs="Arial"/>
          <w:szCs w:val="24"/>
        </w:rPr>
        <w:t>Based on information received from Denel SOC Limited:</w:t>
      </w:r>
    </w:p>
    <w:p w:rsidR="00EE39A7" w:rsidRPr="00C762C6" w:rsidRDefault="00EE39A7" w:rsidP="00657BBF">
      <w:pPr>
        <w:ind w:left="-567" w:right="-523"/>
        <w:rPr>
          <w:rFonts w:cs="Arial"/>
          <w:szCs w:val="24"/>
        </w:rPr>
      </w:pPr>
    </w:p>
    <w:p w:rsidR="00EE39A7" w:rsidRPr="00C762C6" w:rsidRDefault="00674041" w:rsidP="00657BBF">
      <w:pPr>
        <w:ind w:left="-567" w:right="-523"/>
        <w:jc w:val="both"/>
        <w:rPr>
          <w:rFonts w:cs="Arial"/>
          <w:szCs w:val="24"/>
        </w:rPr>
      </w:pPr>
      <w:r w:rsidRPr="00C762C6">
        <w:rPr>
          <w:rFonts w:cs="Arial"/>
          <w:szCs w:val="24"/>
        </w:rPr>
        <w:t>Yes. The facility was lawful.</w:t>
      </w:r>
    </w:p>
    <w:p w:rsidR="00674041" w:rsidRPr="00C762C6" w:rsidRDefault="00674041" w:rsidP="00657BBF">
      <w:pPr>
        <w:ind w:left="-567" w:right="-523"/>
        <w:jc w:val="both"/>
        <w:rPr>
          <w:rFonts w:cs="Arial"/>
          <w:szCs w:val="24"/>
        </w:rPr>
      </w:pPr>
    </w:p>
    <w:p w:rsidR="007A64B9" w:rsidRPr="00C762C6" w:rsidRDefault="00674041" w:rsidP="00657BBF">
      <w:pPr>
        <w:ind w:left="-567" w:right="-523"/>
        <w:jc w:val="both"/>
        <w:rPr>
          <w:rFonts w:cs="Arial"/>
          <w:szCs w:val="24"/>
        </w:rPr>
      </w:pPr>
      <w:r w:rsidRPr="00C762C6">
        <w:rPr>
          <w:rFonts w:cs="Arial"/>
          <w:szCs w:val="24"/>
        </w:rPr>
        <w:t>The facility was approved by the Board of Denel on 04 September 2012. Go</w:t>
      </w:r>
      <w:r w:rsidR="00D23DF1" w:rsidRPr="00C762C6">
        <w:rPr>
          <w:rFonts w:cs="Arial"/>
          <w:szCs w:val="24"/>
        </w:rPr>
        <w:t xml:space="preserve">vernment (National Treasury and the Department of Public Enterprises) had approved the Domestic Medium Term Note (DMTN) </w:t>
      </w:r>
      <w:r w:rsidR="005764E4" w:rsidRPr="00C762C6">
        <w:rPr>
          <w:rFonts w:cs="Arial"/>
          <w:szCs w:val="24"/>
        </w:rPr>
        <w:t>in 2007/2008</w:t>
      </w:r>
      <w:r w:rsidR="005E3521" w:rsidRPr="00C762C6">
        <w:rPr>
          <w:rFonts w:cs="Arial"/>
          <w:szCs w:val="24"/>
        </w:rPr>
        <w:t xml:space="preserve"> for R2 200 000 000,</w:t>
      </w:r>
      <w:r w:rsidR="005764E4" w:rsidRPr="00C762C6">
        <w:rPr>
          <w:rFonts w:cs="Arial"/>
          <w:szCs w:val="24"/>
        </w:rPr>
        <w:t xml:space="preserve"> which provided for both secured and unsecured components. The Regiments Capital R290 million loan (which funds turned out to be that of Johann</w:t>
      </w:r>
      <w:r w:rsidR="007A64B9" w:rsidRPr="00C762C6">
        <w:rPr>
          <w:rFonts w:cs="Arial"/>
          <w:szCs w:val="24"/>
        </w:rPr>
        <w:t>esburg Metropolitan Municipality’s</w:t>
      </w:r>
      <w:r w:rsidR="005764E4" w:rsidRPr="00C762C6">
        <w:rPr>
          <w:rFonts w:cs="Arial"/>
          <w:szCs w:val="24"/>
        </w:rPr>
        <w:t>)</w:t>
      </w:r>
      <w:r w:rsidR="007A64B9" w:rsidRPr="00C762C6">
        <w:rPr>
          <w:rFonts w:cs="Arial"/>
          <w:szCs w:val="24"/>
        </w:rPr>
        <w:t xml:space="preserve">, was part of the </w:t>
      </w:r>
      <w:r w:rsidR="00B9001E" w:rsidRPr="00C762C6">
        <w:rPr>
          <w:rFonts w:cs="Arial"/>
          <w:szCs w:val="24"/>
        </w:rPr>
        <w:t>unsecured component of the DMTN</w:t>
      </w:r>
      <w:r w:rsidR="00D602F8">
        <w:rPr>
          <w:rFonts w:cs="Arial"/>
          <w:szCs w:val="24"/>
        </w:rPr>
        <w:t xml:space="preserve"> programme. T</w:t>
      </w:r>
      <w:r w:rsidR="00B9001E" w:rsidRPr="00C762C6">
        <w:rPr>
          <w:rFonts w:cs="Arial"/>
          <w:szCs w:val="24"/>
        </w:rPr>
        <w:t>his loan</w:t>
      </w:r>
      <w:r w:rsidR="00D602F8">
        <w:rPr>
          <w:rFonts w:cs="Arial"/>
          <w:szCs w:val="24"/>
        </w:rPr>
        <w:t xml:space="preserve">, like all the other loans under the DMTN programme, </w:t>
      </w:r>
      <w:r w:rsidR="00B9001E" w:rsidRPr="00C762C6">
        <w:rPr>
          <w:rFonts w:cs="Arial"/>
          <w:szCs w:val="24"/>
        </w:rPr>
        <w:t>was duly registered with the Johannesburg Stock Exchange</w:t>
      </w:r>
      <w:r w:rsidR="00B62286">
        <w:rPr>
          <w:rFonts w:cs="Arial"/>
          <w:szCs w:val="24"/>
        </w:rPr>
        <w:t xml:space="preserve"> Securities</w:t>
      </w:r>
      <w:r w:rsidR="00B9001E" w:rsidRPr="00C762C6">
        <w:rPr>
          <w:rFonts w:cs="Arial"/>
          <w:szCs w:val="24"/>
        </w:rPr>
        <w:t>.</w:t>
      </w:r>
      <w:r w:rsidR="007A64B9" w:rsidRPr="00C762C6">
        <w:rPr>
          <w:rFonts w:cs="Arial"/>
          <w:szCs w:val="24"/>
        </w:rPr>
        <w:t xml:space="preserve"> The identification and contracting of the up</w:t>
      </w:r>
      <w:r w:rsidR="004C25EA" w:rsidRPr="00C762C6">
        <w:rPr>
          <w:rFonts w:cs="Arial"/>
          <w:szCs w:val="24"/>
        </w:rPr>
        <w:t>-</w:t>
      </w:r>
      <w:r w:rsidR="007A64B9" w:rsidRPr="00C762C6">
        <w:rPr>
          <w:rFonts w:cs="Arial"/>
          <w:szCs w:val="24"/>
        </w:rPr>
        <w:t xml:space="preserve">takers of the facility would be the responsibility of the Board </w:t>
      </w:r>
      <w:r w:rsidR="004C25EA" w:rsidRPr="00C762C6">
        <w:rPr>
          <w:rFonts w:cs="Arial"/>
          <w:szCs w:val="24"/>
        </w:rPr>
        <w:t>without further involvement of the Ministers of Finance and Public Enterprises.</w:t>
      </w:r>
    </w:p>
    <w:p w:rsidR="00BA4829" w:rsidRPr="00C762C6" w:rsidRDefault="00BA4829" w:rsidP="00BA4829">
      <w:pPr>
        <w:ind w:right="328"/>
        <w:jc w:val="both"/>
        <w:rPr>
          <w:rFonts w:cs="Arial"/>
          <w:szCs w:val="24"/>
        </w:rPr>
      </w:pPr>
    </w:p>
    <w:tbl>
      <w:tblPr>
        <w:tblStyle w:val="TableGrid"/>
        <w:tblW w:w="9360" w:type="dxa"/>
        <w:tblInd w:w="-459" w:type="dxa"/>
        <w:tblLayout w:type="fixed"/>
        <w:tblLook w:val="04A0"/>
      </w:tblPr>
      <w:tblGrid>
        <w:gridCol w:w="821"/>
        <w:gridCol w:w="3434"/>
        <w:gridCol w:w="283"/>
        <w:gridCol w:w="284"/>
        <w:gridCol w:w="4066"/>
        <w:gridCol w:w="132"/>
        <w:gridCol w:w="104"/>
        <w:gridCol w:w="236"/>
      </w:tblGrid>
      <w:tr w:rsidR="00EE39A7" w:rsidRPr="00C762C6" w:rsidTr="00C762C6">
        <w:trPr>
          <w:gridAfter w:val="2"/>
          <w:wAfter w:w="340" w:type="dxa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4C25EA">
            <w:pPr>
              <w:pStyle w:val="ListParagraph"/>
              <w:spacing w:line="276" w:lineRule="auto"/>
              <w:ind w:left="0" w:right="32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62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4C25EA">
            <w:pPr>
              <w:pStyle w:val="ListParagraph"/>
              <w:spacing w:line="276" w:lineRule="auto"/>
              <w:ind w:left="0" w:right="32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E39A7" w:rsidRPr="00C762C6" w:rsidTr="00C762C6">
        <w:trPr>
          <w:trHeight w:val="855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4C25EA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4C25EA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4C25EA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4C25EA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</w:tr>
      <w:tr w:rsidR="00EE39A7" w:rsidRPr="00C762C6" w:rsidTr="00C762C6"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</w:tr>
      <w:tr w:rsidR="00EE39A7" w:rsidRPr="00C762C6" w:rsidTr="00AD3BA4"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</w:tr>
      <w:tr w:rsidR="00EE39A7" w:rsidRPr="00C762C6" w:rsidTr="00AD3BA4">
        <w:trPr>
          <w:gridAfter w:val="3"/>
          <w:wAfter w:w="472" w:type="dxa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</w:tr>
      <w:tr w:rsidR="00EE39A7" w:rsidRPr="00C762C6" w:rsidTr="00AD3BA4">
        <w:trPr>
          <w:trHeight w:val="89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9A7" w:rsidRPr="00C762C6" w:rsidRDefault="00EE39A7" w:rsidP="003D30A6">
            <w:pPr>
              <w:spacing w:line="276" w:lineRule="auto"/>
              <w:ind w:right="328"/>
              <w:jc w:val="both"/>
              <w:rPr>
                <w:rFonts w:cs="Arial"/>
                <w:b/>
                <w:snapToGrid w:val="0"/>
                <w:szCs w:val="24"/>
              </w:rPr>
            </w:pPr>
          </w:p>
        </w:tc>
      </w:tr>
    </w:tbl>
    <w:p w:rsidR="00EE39A7" w:rsidRPr="00632D47" w:rsidRDefault="00EE39A7" w:rsidP="00BA4829">
      <w:pPr>
        <w:spacing w:line="276" w:lineRule="auto"/>
        <w:ind w:right="329"/>
        <w:rPr>
          <w:rFonts w:cs="Arial"/>
          <w:szCs w:val="22"/>
        </w:rPr>
      </w:pPr>
      <w:bookmarkStart w:id="0" w:name="_GoBack"/>
      <w:bookmarkEnd w:id="0"/>
    </w:p>
    <w:sectPr w:rsidR="00EE39A7" w:rsidRPr="00632D47" w:rsidSect="00657BB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426" w:right="1134" w:bottom="709" w:left="1797" w:header="0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66" w:rsidRDefault="00026F66">
      <w:r>
        <w:separator/>
      </w:r>
    </w:p>
  </w:endnote>
  <w:endnote w:type="continuationSeparator" w:id="0">
    <w:p w:rsidR="00026F66" w:rsidRDefault="0002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Content>
          <w:p w:rsidR="00657BBF" w:rsidRDefault="00657BBF" w:rsidP="00657BBF">
            <w:pPr>
              <w:pStyle w:val="Footer"/>
              <w:tabs>
                <w:tab w:val="clear" w:pos="451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</w:t>
            </w:r>
            <w:r w:rsidR="003A0730" w:rsidRPr="00B4315E">
              <w:rPr>
                <w:b/>
                <w:color w:val="FF0000"/>
                <w:sz w:val="16"/>
              </w:rPr>
              <w:t xml:space="preserve">  </w:t>
            </w:r>
            <w:r w:rsidR="003A0730">
              <w:rPr>
                <w:sz w:val="16"/>
              </w:rPr>
              <w:t xml:space="preserve">   </w:t>
            </w:r>
          </w:p>
          <w:p w:rsidR="003A0730" w:rsidRPr="003E058D" w:rsidRDefault="003A0730" w:rsidP="00657BBF">
            <w:pPr>
              <w:pStyle w:val="Footer"/>
              <w:tabs>
                <w:tab w:val="clear" w:pos="451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342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="00E634CF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="00E634CF"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E634CF"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="00E634CF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="00E634CF" w:rsidRPr="008F59C5">
              <w:rPr>
                <w:bCs/>
                <w:sz w:val="16"/>
                <w:szCs w:val="16"/>
              </w:rPr>
              <w:fldChar w:fldCharType="separate"/>
            </w:r>
            <w:r w:rsidR="00D602F8">
              <w:rPr>
                <w:bCs/>
                <w:noProof/>
                <w:sz w:val="16"/>
                <w:szCs w:val="16"/>
              </w:rPr>
              <w:t>1</w:t>
            </w:r>
            <w:r w:rsidR="00E634CF"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66" w:rsidRDefault="00026F66">
      <w:r>
        <w:separator/>
      </w:r>
    </w:p>
  </w:footnote>
  <w:footnote w:type="continuationSeparator" w:id="0">
    <w:p w:rsidR="00026F66" w:rsidRDefault="00026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30" w:rsidRDefault="003A0730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BA1BBE"/>
    <w:multiLevelType w:val="hybridMultilevel"/>
    <w:tmpl w:val="10004A60"/>
    <w:lvl w:ilvl="0" w:tplc="95463C72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31FAE"/>
    <w:multiLevelType w:val="hybridMultilevel"/>
    <w:tmpl w:val="80D626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4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27"/>
  </w:num>
  <w:num w:numId="11">
    <w:abstractNumId w:val="31"/>
  </w:num>
  <w:num w:numId="12">
    <w:abstractNumId w:val="14"/>
  </w:num>
  <w:num w:numId="13">
    <w:abstractNumId w:val="23"/>
  </w:num>
  <w:num w:numId="14">
    <w:abstractNumId w:val="22"/>
  </w:num>
  <w:num w:numId="15">
    <w:abstractNumId w:val="32"/>
  </w:num>
  <w:num w:numId="16">
    <w:abstractNumId w:val="25"/>
  </w:num>
  <w:num w:numId="17">
    <w:abstractNumId w:val="17"/>
  </w:num>
  <w:num w:numId="18">
    <w:abstractNumId w:val="29"/>
  </w:num>
  <w:num w:numId="19">
    <w:abstractNumId w:val="6"/>
  </w:num>
  <w:num w:numId="20">
    <w:abstractNumId w:val="9"/>
  </w:num>
  <w:num w:numId="21">
    <w:abstractNumId w:val="26"/>
  </w:num>
  <w:num w:numId="22">
    <w:abstractNumId w:val="28"/>
  </w:num>
  <w:num w:numId="23">
    <w:abstractNumId w:val="19"/>
  </w:num>
  <w:num w:numId="24">
    <w:abstractNumId w:val="12"/>
  </w:num>
  <w:num w:numId="25">
    <w:abstractNumId w:val="0"/>
  </w:num>
  <w:num w:numId="26">
    <w:abstractNumId w:val="13"/>
  </w:num>
  <w:num w:numId="27">
    <w:abstractNumId w:val="24"/>
  </w:num>
  <w:num w:numId="28">
    <w:abstractNumId w:val="11"/>
  </w:num>
  <w:num w:numId="29">
    <w:abstractNumId w:val="21"/>
  </w:num>
  <w:num w:numId="30">
    <w:abstractNumId w:val="10"/>
  </w:num>
  <w:num w:numId="31">
    <w:abstractNumId w:val="30"/>
  </w:num>
  <w:num w:numId="32">
    <w:abstractNumId w:val="33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6F66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78C"/>
    <w:rsid w:val="00057A98"/>
    <w:rsid w:val="00057AD9"/>
    <w:rsid w:val="00057F1C"/>
    <w:rsid w:val="00060EF9"/>
    <w:rsid w:val="00062932"/>
    <w:rsid w:val="000632B5"/>
    <w:rsid w:val="0006351A"/>
    <w:rsid w:val="00063E3D"/>
    <w:rsid w:val="00065B62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DD6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1CAE"/>
    <w:rsid w:val="000F322E"/>
    <w:rsid w:val="000F3A8B"/>
    <w:rsid w:val="000F3C3D"/>
    <w:rsid w:val="000F3C5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4F9A"/>
    <w:rsid w:val="001052BA"/>
    <w:rsid w:val="001058E4"/>
    <w:rsid w:val="001062C8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1D2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355D4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315"/>
    <w:rsid w:val="001A74ED"/>
    <w:rsid w:val="001A78BA"/>
    <w:rsid w:val="001A7F90"/>
    <w:rsid w:val="001B0185"/>
    <w:rsid w:val="001B2485"/>
    <w:rsid w:val="001B269A"/>
    <w:rsid w:val="001B31CE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69BD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673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3D5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78AF"/>
    <w:rsid w:val="00277A78"/>
    <w:rsid w:val="00277D9B"/>
    <w:rsid w:val="00280BB2"/>
    <w:rsid w:val="002826B4"/>
    <w:rsid w:val="002830F3"/>
    <w:rsid w:val="002841B5"/>
    <w:rsid w:val="0028474D"/>
    <w:rsid w:val="00285B8B"/>
    <w:rsid w:val="00285DB6"/>
    <w:rsid w:val="0028680F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E76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2B3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54E2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9E4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5AA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2BCA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5EA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6654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4E4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69C"/>
    <w:rsid w:val="00594E25"/>
    <w:rsid w:val="00594EA0"/>
    <w:rsid w:val="00594F5D"/>
    <w:rsid w:val="00595115"/>
    <w:rsid w:val="00595386"/>
    <w:rsid w:val="0059546F"/>
    <w:rsid w:val="00595C3D"/>
    <w:rsid w:val="00595D2B"/>
    <w:rsid w:val="005960FE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352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6E8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2D47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57BBF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041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9F6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0B29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0B2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4B9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9B2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178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5F90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4941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583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608"/>
    <w:rsid w:val="00976A5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174A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3BA4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62DD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1471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286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362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20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001E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211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4829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2C6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CDA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3DF1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15B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57D3A"/>
    <w:rsid w:val="00D60139"/>
    <w:rsid w:val="00D602F8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254"/>
    <w:rsid w:val="00D906A6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244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4CF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3D33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99B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39A7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371E1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4E2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5DD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PUMZA</cp:lastModifiedBy>
  <cp:revision>2</cp:revision>
  <cp:lastPrinted>2018-10-04T07:44:00Z</cp:lastPrinted>
  <dcterms:created xsi:type="dcterms:W3CDTF">2019-02-12T11:29:00Z</dcterms:created>
  <dcterms:modified xsi:type="dcterms:W3CDTF">2019-02-12T11:29:00Z</dcterms:modified>
</cp:coreProperties>
</file>