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D550CF" w:rsidTr="00BE13C3">
        <w:tc>
          <w:tcPr>
            <w:tcW w:w="9360" w:type="dxa"/>
          </w:tcPr>
          <w:p w:rsidR="00BE13C3" w:rsidRPr="00D550CF" w:rsidRDefault="00BE13C3" w:rsidP="00BE13C3">
            <w:pPr>
              <w:jc w:val="center"/>
              <w:rPr>
                <w:rFonts w:cs="Arial"/>
                <w:b/>
                <w:sz w:val="24"/>
                <w:szCs w:val="24"/>
              </w:rPr>
            </w:pPr>
          </w:p>
          <w:p w:rsidR="00BE13C3" w:rsidRPr="00D550CF" w:rsidRDefault="00BE13C3" w:rsidP="00BE13C3">
            <w:pPr>
              <w:jc w:val="center"/>
              <w:rPr>
                <w:rFonts w:cs="Arial"/>
                <w:b/>
                <w:sz w:val="24"/>
                <w:szCs w:val="24"/>
              </w:rPr>
            </w:pPr>
            <w:r w:rsidRPr="00D550CF">
              <w:rPr>
                <w:rFonts w:cs="Arial"/>
                <w:b/>
                <w:sz w:val="24"/>
                <w:szCs w:val="24"/>
              </w:rPr>
              <w:t>PARLIAMENT OF THE REPUBLIC OF SOUTH AFRICA</w:t>
            </w:r>
          </w:p>
          <w:p w:rsidR="00BE13C3" w:rsidRPr="00D550CF" w:rsidRDefault="00BE13C3" w:rsidP="00BE13C3">
            <w:pPr>
              <w:ind w:left="540" w:hanging="540"/>
              <w:jc w:val="center"/>
              <w:rPr>
                <w:rFonts w:cs="Arial"/>
                <w:b/>
                <w:sz w:val="24"/>
                <w:szCs w:val="24"/>
              </w:rPr>
            </w:pPr>
            <w:r w:rsidRPr="00D550CF">
              <w:rPr>
                <w:rFonts w:cs="Arial"/>
                <w:b/>
                <w:sz w:val="24"/>
                <w:szCs w:val="24"/>
              </w:rPr>
              <w:t>NATIONAL ASSEMBLY</w:t>
            </w:r>
          </w:p>
          <w:p w:rsidR="00BE13C3" w:rsidRPr="00D550CF" w:rsidRDefault="00BE13C3" w:rsidP="00BE13C3">
            <w:pPr>
              <w:ind w:left="540" w:hanging="540"/>
              <w:jc w:val="center"/>
              <w:rPr>
                <w:rFonts w:cs="Arial"/>
                <w:sz w:val="24"/>
                <w:szCs w:val="24"/>
              </w:rPr>
            </w:pPr>
          </w:p>
        </w:tc>
      </w:tr>
    </w:tbl>
    <w:p w:rsidR="00BE13C3" w:rsidRPr="00D550CF" w:rsidRDefault="00BE13C3" w:rsidP="00BE13C3">
      <w:pPr>
        <w:ind w:left="540" w:hanging="540"/>
        <w:rPr>
          <w:rFonts w:cs="Arial"/>
          <w:sz w:val="24"/>
          <w:szCs w:val="24"/>
        </w:rPr>
      </w:pPr>
    </w:p>
    <w:p w:rsidR="00BE13C3" w:rsidRPr="003D0F15" w:rsidRDefault="003D0F15" w:rsidP="003D0F15">
      <w:pPr>
        <w:spacing w:line="360" w:lineRule="auto"/>
        <w:ind w:left="540" w:hanging="540"/>
        <w:rPr>
          <w:rFonts w:cs="Arial"/>
          <w:b/>
          <w:sz w:val="24"/>
          <w:szCs w:val="24"/>
        </w:rPr>
      </w:pPr>
      <w:r w:rsidRPr="003D0F15">
        <w:rPr>
          <w:rFonts w:cs="Arial"/>
          <w:b/>
          <w:sz w:val="24"/>
          <w:szCs w:val="24"/>
        </w:rPr>
        <w:t xml:space="preserve">QUESTION </w:t>
      </w:r>
      <w:r w:rsidR="00BE13C3" w:rsidRPr="003D0F15">
        <w:rPr>
          <w:rFonts w:cs="Arial"/>
          <w:b/>
          <w:sz w:val="24"/>
          <w:szCs w:val="24"/>
        </w:rPr>
        <w:t xml:space="preserve">FOR </w:t>
      </w:r>
      <w:r w:rsidR="00385634" w:rsidRPr="003D0F15">
        <w:rPr>
          <w:rFonts w:cs="Arial"/>
          <w:b/>
          <w:sz w:val="24"/>
          <w:szCs w:val="24"/>
        </w:rPr>
        <w:t>WRITTEN</w:t>
      </w:r>
      <w:r w:rsidR="00BE13C3" w:rsidRPr="003D0F15">
        <w:rPr>
          <w:rFonts w:cs="Arial"/>
          <w:b/>
          <w:sz w:val="24"/>
          <w:szCs w:val="24"/>
        </w:rPr>
        <w:t xml:space="preserve"> REPLY</w:t>
      </w:r>
    </w:p>
    <w:p w:rsidR="003D0F15" w:rsidRPr="003D0F15" w:rsidRDefault="003D0F15" w:rsidP="003D0F15">
      <w:pPr>
        <w:spacing w:line="360" w:lineRule="auto"/>
        <w:ind w:left="540" w:hanging="540"/>
        <w:rPr>
          <w:rFonts w:cs="Arial"/>
          <w:b/>
          <w:sz w:val="24"/>
          <w:szCs w:val="24"/>
        </w:rPr>
      </w:pPr>
      <w:r w:rsidRPr="003D0F15">
        <w:rPr>
          <w:rFonts w:cs="Arial"/>
          <w:b/>
          <w:sz w:val="24"/>
          <w:szCs w:val="24"/>
        </w:rPr>
        <w:t>PARLIAMENTARY QUESTION: NO. 2559</w:t>
      </w:r>
    </w:p>
    <w:p w:rsidR="003D0F15" w:rsidRPr="003D0F15" w:rsidRDefault="00F73B8C" w:rsidP="003D0F15">
      <w:pPr>
        <w:spacing w:line="360" w:lineRule="auto"/>
        <w:ind w:left="540" w:hanging="540"/>
        <w:rPr>
          <w:rFonts w:cs="Arial"/>
          <w:b/>
          <w:sz w:val="24"/>
          <w:szCs w:val="24"/>
        </w:rPr>
      </w:pPr>
      <w:r>
        <w:rPr>
          <w:rFonts w:cs="Arial"/>
          <w:b/>
          <w:sz w:val="24"/>
          <w:szCs w:val="24"/>
        </w:rPr>
        <w:t>DATE OF QUESTION:</w:t>
      </w:r>
      <w:r w:rsidR="003D0F15" w:rsidRPr="003D0F15">
        <w:rPr>
          <w:rFonts w:cs="Arial"/>
          <w:b/>
          <w:sz w:val="24"/>
          <w:szCs w:val="24"/>
        </w:rPr>
        <w:t xml:space="preserve"> 18 NOVEMBER 2016</w:t>
      </w:r>
    </w:p>
    <w:p w:rsidR="003D0F15" w:rsidRPr="003D0F15" w:rsidRDefault="002A30CE" w:rsidP="003D0F15">
      <w:pPr>
        <w:spacing w:line="360" w:lineRule="auto"/>
        <w:ind w:left="540" w:hanging="540"/>
        <w:rPr>
          <w:rFonts w:cs="Arial"/>
          <w:b/>
          <w:sz w:val="24"/>
          <w:szCs w:val="24"/>
        </w:rPr>
      </w:pPr>
      <w:r>
        <w:rPr>
          <w:rFonts w:cs="Arial"/>
          <w:b/>
          <w:sz w:val="24"/>
          <w:szCs w:val="24"/>
        </w:rPr>
        <w:t>DATE OF SUBMISSION: 02</w:t>
      </w:r>
      <w:r w:rsidR="003D0F15" w:rsidRPr="003D0F15">
        <w:rPr>
          <w:rFonts w:cs="Arial"/>
          <w:b/>
          <w:sz w:val="24"/>
          <w:szCs w:val="24"/>
        </w:rPr>
        <w:t xml:space="preserve"> </w:t>
      </w:r>
      <w:r>
        <w:rPr>
          <w:rFonts w:cs="Arial"/>
          <w:b/>
          <w:sz w:val="24"/>
          <w:szCs w:val="24"/>
        </w:rPr>
        <w:t>DECEMBER</w:t>
      </w:r>
      <w:r w:rsidR="003D0F15" w:rsidRPr="003D0F15">
        <w:rPr>
          <w:rFonts w:cs="Arial"/>
          <w:b/>
          <w:sz w:val="24"/>
          <w:szCs w:val="24"/>
        </w:rPr>
        <w:t xml:space="preserve"> 2016</w:t>
      </w:r>
    </w:p>
    <w:p w:rsidR="00BE13C3" w:rsidRPr="00D550CF" w:rsidRDefault="00BE13C3" w:rsidP="00BE13C3">
      <w:pPr>
        <w:ind w:left="540" w:hanging="540"/>
        <w:jc w:val="center"/>
        <w:rPr>
          <w:rFonts w:cs="Arial"/>
          <w:b/>
          <w:sz w:val="24"/>
          <w:szCs w:val="24"/>
          <w:u w:val="single"/>
        </w:rPr>
      </w:pPr>
    </w:p>
    <w:p w:rsidR="00BE13C3" w:rsidRPr="00D550CF" w:rsidRDefault="00BE13C3" w:rsidP="00BE13C3">
      <w:pPr>
        <w:ind w:left="-1260"/>
        <w:jc w:val="both"/>
        <w:rPr>
          <w:rFonts w:cs="Arial"/>
          <w:sz w:val="24"/>
          <w:szCs w:val="24"/>
        </w:rPr>
      </w:pPr>
    </w:p>
    <w:p w:rsidR="001C2AD3" w:rsidRPr="00D550CF" w:rsidRDefault="001C2AD3" w:rsidP="00274384">
      <w:pPr>
        <w:jc w:val="both"/>
        <w:outlineLvl w:val="0"/>
        <w:rPr>
          <w:rFonts w:cs="Arial"/>
          <w:b/>
          <w:sz w:val="24"/>
          <w:szCs w:val="24"/>
        </w:rPr>
      </w:pPr>
      <w:r w:rsidRPr="00D550CF">
        <w:rPr>
          <w:rFonts w:cs="Arial"/>
          <w:b/>
          <w:sz w:val="24"/>
          <w:szCs w:val="24"/>
        </w:rPr>
        <w:t>Ms M C C Pilane-Majake (ANC) to ask the Minister of Justice and Correctional Services:</w:t>
      </w:r>
    </w:p>
    <w:p w:rsidR="00385634" w:rsidRPr="00385634" w:rsidRDefault="00385634" w:rsidP="003D0F15">
      <w:pPr>
        <w:spacing w:before="100" w:beforeAutospacing="1" w:after="100" w:afterAutospacing="1" w:line="360" w:lineRule="auto"/>
        <w:jc w:val="both"/>
        <w:rPr>
          <w:rFonts w:cs="Arial"/>
          <w:b/>
          <w:sz w:val="24"/>
          <w:szCs w:val="24"/>
        </w:rPr>
      </w:pPr>
      <w:r w:rsidRPr="00385634">
        <w:rPr>
          <w:rFonts w:eastAsia="Calibri" w:cs="Arial"/>
          <w:sz w:val="24"/>
          <w:szCs w:val="24"/>
        </w:rPr>
        <w:t xml:space="preserve">In light of the fact that the Justice, Crime Prevention and Security Cluster’s efforts to reduce the number of remand </w:t>
      </w:r>
      <w:r w:rsidRPr="00385634">
        <w:rPr>
          <w:rFonts w:cs="Arial"/>
          <w:sz w:val="24"/>
          <w:szCs w:val="24"/>
        </w:rPr>
        <w:t>detainees</w:t>
      </w:r>
      <w:r w:rsidRPr="00385634">
        <w:rPr>
          <w:rFonts w:eastAsia="Calibri" w:cs="Arial"/>
          <w:sz w:val="24"/>
          <w:szCs w:val="24"/>
        </w:rPr>
        <w:t xml:space="preserve"> in correctional services, estimated to be 40 000, which have not managed to yield the desired results, what additional measures is he, as the Executive responsible for three of the Budget Votes that directly impact on this desired outcome, recommending to deal with overcrowding in correctional centres that is too costly for the country</w:t>
      </w:r>
      <w:r w:rsidRPr="00385634">
        <w:rPr>
          <w:rFonts w:cs="Arial"/>
          <w:sz w:val="24"/>
          <w:szCs w:val="24"/>
        </w:rPr>
        <w:t>?</w:t>
      </w:r>
      <w:r w:rsidRPr="00385634">
        <w:rPr>
          <w:rFonts w:cs="Arial"/>
          <w:sz w:val="24"/>
          <w:szCs w:val="24"/>
        </w:rPr>
        <w:tab/>
      </w:r>
      <w:r w:rsidRPr="00385634">
        <w:rPr>
          <w:rFonts w:cs="Arial"/>
          <w:sz w:val="24"/>
          <w:szCs w:val="24"/>
        </w:rPr>
        <w:tab/>
      </w:r>
      <w:r w:rsidRPr="00385634">
        <w:rPr>
          <w:rFonts w:cs="Arial"/>
          <w:sz w:val="24"/>
          <w:szCs w:val="24"/>
        </w:rPr>
        <w:tab/>
      </w:r>
      <w:r w:rsidRPr="0038563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385634">
        <w:rPr>
          <w:rFonts w:cs="Arial"/>
          <w:sz w:val="24"/>
          <w:szCs w:val="24"/>
        </w:rPr>
        <w:tab/>
      </w:r>
      <w:r w:rsidRPr="003D0F15">
        <w:rPr>
          <w:rFonts w:cs="Arial"/>
          <w:b/>
          <w:sz w:val="20"/>
          <w:szCs w:val="20"/>
        </w:rPr>
        <w:t>NW2882E</w:t>
      </w:r>
    </w:p>
    <w:p w:rsidR="00B875C1" w:rsidRPr="00D550CF" w:rsidRDefault="001C2AD3" w:rsidP="00C87FC0">
      <w:pPr>
        <w:rPr>
          <w:rFonts w:cs="Arial"/>
          <w:b/>
          <w:sz w:val="24"/>
          <w:szCs w:val="24"/>
        </w:rPr>
      </w:pPr>
      <w:r w:rsidRPr="00D550CF">
        <w:rPr>
          <w:rFonts w:cs="Arial"/>
          <w:b/>
          <w:sz w:val="24"/>
          <w:szCs w:val="24"/>
        </w:rPr>
        <w:t>REPLY:</w:t>
      </w:r>
    </w:p>
    <w:p w:rsidR="00C87FC0" w:rsidRPr="00D550CF" w:rsidRDefault="00C87FC0" w:rsidP="00C87FC0">
      <w:pPr>
        <w:rPr>
          <w:rFonts w:cs="Arial"/>
          <w:b/>
          <w:sz w:val="24"/>
          <w:szCs w:val="24"/>
        </w:rPr>
      </w:pPr>
    </w:p>
    <w:p w:rsidR="00310F69" w:rsidRDefault="00310F69" w:rsidP="00C87FC0">
      <w:pPr>
        <w:rPr>
          <w:rFonts w:cs="Arial"/>
          <w:sz w:val="24"/>
          <w:szCs w:val="24"/>
        </w:rPr>
      </w:pPr>
      <w:r w:rsidRPr="00D550CF">
        <w:rPr>
          <w:rFonts w:cs="Arial"/>
          <w:sz w:val="24"/>
          <w:szCs w:val="24"/>
        </w:rPr>
        <w:t>There has over the years been a significant reduction in the number of remand detainees.</w:t>
      </w:r>
    </w:p>
    <w:p w:rsidR="00D550CF" w:rsidRPr="00D550CF" w:rsidRDefault="00D550CF" w:rsidP="00C87FC0">
      <w:pPr>
        <w:rPr>
          <w:rFonts w:cs="Arial"/>
          <w:sz w:val="24"/>
          <w:szCs w:val="24"/>
        </w:rPr>
      </w:pPr>
    </w:p>
    <w:tbl>
      <w:tblPr>
        <w:tblW w:w="8379" w:type="dxa"/>
        <w:tblInd w:w="93" w:type="dxa"/>
        <w:tblLook w:val="04A0"/>
      </w:tblPr>
      <w:tblGrid>
        <w:gridCol w:w="2850"/>
        <w:gridCol w:w="5529"/>
      </w:tblGrid>
      <w:tr w:rsidR="00310F69" w:rsidRPr="00D550CF" w:rsidTr="00D550CF">
        <w:trPr>
          <w:trHeight w:val="251"/>
        </w:trPr>
        <w:tc>
          <w:tcPr>
            <w:tcW w:w="2850" w:type="dxa"/>
            <w:tcBorders>
              <w:top w:val="single" w:sz="4" w:space="0" w:color="auto"/>
              <w:left w:val="single" w:sz="4" w:space="0" w:color="auto"/>
              <w:bottom w:val="single" w:sz="4" w:space="0" w:color="auto"/>
              <w:right w:val="single" w:sz="4" w:space="0" w:color="auto"/>
            </w:tcBorders>
            <w:shd w:val="clear" w:color="auto" w:fill="D9D9D9"/>
            <w:hideMark/>
          </w:tcPr>
          <w:p w:rsidR="00310F69" w:rsidRPr="00D550CF" w:rsidRDefault="00310F69" w:rsidP="006F3600">
            <w:pPr>
              <w:rPr>
                <w:rFonts w:cs="Arial"/>
                <w:b/>
                <w:bCs/>
                <w:color w:val="000000"/>
                <w:sz w:val="24"/>
                <w:szCs w:val="24"/>
                <w:lang w:val="en-US"/>
              </w:rPr>
            </w:pPr>
            <w:r w:rsidRPr="00D550CF">
              <w:rPr>
                <w:rFonts w:cs="Arial"/>
                <w:b/>
                <w:bCs/>
                <w:color w:val="000000"/>
                <w:sz w:val="24"/>
                <w:szCs w:val="24"/>
                <w:lang w:val="en-US"/>
              </w:rPr>
              <w:t>Periods</w:t>
            </w:r>
          </w:p>
        </w:tc>
        <w:tc>
          <w:tcPr>
            <w:tcW w:w="5529" w:type="dxa"/>
            <w:tcBorders>
              <w:top w:val="single" w:sz="4" w:space="0" w:color="auto"/>
              <w:left w:val="nil"/>
              <w:bottom w:val="single" w:sz="4" w:space="0" w:color="auto"/>
              <w:right w:val="single" w:sz="4" w:space="0" w:color="auto"/>
            </w:tcBorders>
            <w:shd w:val="clear" w:color="auto" w:fill="D9D9D9"/>
            <w:hideMark/>
          </w:tcPr>
          <w:p w:rsidR="00310F69" w:rsidRPr="00D550CF" w:rsidRDefault="00310F69" w:rsidP="006F3600">
            <w:pPr>
              <w:jc w:val="center"/>
              <w:rPr>
                <w:rFonts w:cs="Arial"/>
                <w:b/>
                <w:color w:val="000000"/>
                <w:sz w:val="24"/>
                <w:szCs w:val="24"/>
                <w:lang w:val="en-US"/>
              </w:rPr>
            </w:pPr>
            <w:r w:rsidRPr="00D550CF">
              <w:rPr>
                <w:rFonts w:cs="Arial"/>
                <w:b/>
                <w:color w:val="000000"/>
                <w:sz w:val="24"/>
                <w:szCs w:val="24"/>
                <w:lang w:val="en-US"/>
              </w:rPr>
              <w:t>Average number of RDs</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March 2012</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47191</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Sept 2012</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45138</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March 2013</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46852</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Sept 2013</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43360</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March 2014</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43973</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Sept 2014</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40146</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March 2015</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42901</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Sept 2015</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40675</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March 2016</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44026</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310F69" w:rsidRPr="00D550CF" w:rsidRDefault="00310F69" w:rsidP="006F3600">
            <w:pPr>
              <w:rPr>
                <w:rFonts w:cs="Arial"/>
                <w:color w:val="000000"/>
                <w:sz w:val="24"/>
                <w:szCs w:val="24"/>
                <w:lang w:val="en-US"/>
              </w:rPr>
            </w:pPr>
            <w:r w:rsidRPr="00D550CF">
              <w:rPr>
                <w:rFonts w:cs="Arial"/>
                <w:color w:val="000000"/>
                <w:sz w:val="24"/>
                <w:szCs w:val="24"/>
                <w:lang w:val="en-US"/>
              </w:rPr>
              <w:t>Average Sept 2016</w:t>
            </w:r>
          </w:p>
        </w:tc>
        <w:tc>
          <w:tcPr>
            <w:tcW w:w="5529" w:type="dxa"/>
            <w:tcBorders>
              <w:top w:val="nil"/>
              <w:left w:val="nil"/>
              <w:bottom w:val="single" w:sz="4" w:space="0" w:color="auto"/>
              <w:right w:val="single" w:sz="4" w:space="0" w:color="auto"/>
            </w:tcBorders>
            <w:shd w:val="clear" w:color="auto" w:fill="auto"/>
            <w:noWrap/>
            <w:hideMark/>
          </w:tcPr>
          <w:p w:rsidR="00310F69" w:rsidRPr="00D550CF" w:rsidRDefault="00310F69" w:rsidP="006F3600">
            <w:pPr>
              <w:jc w:val="center"/>
              <w:rPr>
                <w:rFonts w:cs="Arial"/>
                <w:color w:val="000000"/>
                <w:sz w:val="24"/>
                <w:szCs w:val="24"/>
                <w:lang w:val="en-US"/>
              </w:rPr>
            </w:pPr>
            <w:r w:rsidRPr="00D550CF">
              <w:rPr>
                <w:rFonts w:cs="Arial"/>
                <w:color w:val="000000"/>
                <w:sz w:val="24"/>
                <w:szCs w:val="24"/>
                <w:lang w:val="en-US"/>
              </w:rPr>
              <w:t>41486</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D9D9D9"/>
            <w:noWrap/>
            <w:hideMark/>
          </w:tcPr>
          <w:p w:rsidR="00310F69" w:rsidRPr="00D550CF" w:rsidRDefault="00310F69" w:rsidP="006F3600">
            <w:pPr>
              <w:rPr>
                <w:rFonts w:cs="Arial"/>
                <w:b/>
                <w:bCs/>
                <w:color w:val="000000"/>
                <w:sz w:val="24"/>
                <w:szCs w:val="24"/>
                <w:lang w:val="en-US"/>
              </w:rPr>
            </w:pPr>
            <w:r w:rsidRPr="00D550CF">
              <w:rPr>
                <w:rFonts w:cs="Arial"/>
                <w:b/>
                <w:bCs/>
                <w:color w:val="000000"/>
                <w:sz w:val="24"/>
                <w:szCs w:val="24"/>
                <w:lang w:val="en-US"/>
              </w:rPr>
              <w:t>Reduction in numbers</w:t>
            </w:r>
          </w:p>
        </w:tc>
        <w:tc>
          <w:tcPr>
            <w:tcW w:w="5529" w:type="dxa"/>
            <w:tcBorders>
              <w:top w:val="nil"/>
              <w:left w:val="nil"/>
              <w:bottom w:val="single" w:sz="4" w:space="0" w:color="auto"/>
              <w:right w:val="single" w:sz="4" w:space="0" w:color="auto"/>
            </w:tcBorders>
            <w:shd w:val="clear" w:color="auto" w:fill="D9D9D9"/>
            <w:noWrap/>
            <w:hideMark/>
          </w:tcPr>
          <w:p w:rsidR="00310F69" w:rsidRPr="00D550CF" w:rsidRDefault="00310F69" w:rsidP="006F3600">
            <w:pPr>
              <w:jc w:val="center"/>
              <w:rPr>
                <w:rFonts w:cs="Arial"/>
                <w:b/>
                <w:bCs/>
                <w:color w:val="000000"/>
                <w:sz w:val="24"/>
                <w:szCs w:val="24"/>
                <w:lang w:val="en-US"/>
              </w:rPr>
            </w:pPr>
            <w:r w:rsidRPr="00D550CF">
              <w:rPr>
                <w:rFonts w:cs="Arial"/>
                <w:b/>
                <w:bCs/>
                <w:color w:val="000000"/>
                <w:sz w:val="24"/>
                <w:szCs w:val="24"/>
                <w:lang w:val="en-US"/>
              </w:rPr>
              <w:t>5705</w:t>
            </w:r>
          </w:p>
        </w:tc>
      </w:tr>
      <w:tr w:rsidR="00310F69" w:rsidRPr="00D550CF" w:rsidTr="00D550CF">
        <w:trPr>
          <w:trHeight w:val="300"/>
        </w:trPr>
        <w:tc>
          <w:tcPr>
            <w:tcW w:w="2850" w:type="dxa"/>
            <w:tcBorders>
              <w:top w:val="nil"/>
              <w:left w:val="single" w:sz="4" w:space="0" w:color="auto"/>
              <w:bottom w:val="single" w:sz="4" w:space="0" w:color="auto"/>
              <w:right w:val="single" w:sz="4" w:space="0" w:color="auto"/>
            </w:tcBorders>
            <w:shd w:val="clear" w:color="auto" w:fill="D9D9D9"/>
            <w:noWrap/>
            <w:hideMark/>
          </w:tcPr>
          <w:p w:rsidR="00310F69" w:rsidRPr="00D550CF" w:rsidRDefault="00310F69" w:rsidP="006F3600">
            <w:pPr>
              <w:rPr>
                <w:rFonts w:cs="Arial"/>
                <w:b/>
                <w:bCs/>
                <w:color w:val="000000"/>
                <w:sz w:val="24"/>
                <w:szCs w:val="24"/>
                <w:lang w:val="en-US"/>
              </w:rPr>
            </w:pPr>
            <w:r w:rsidRPr="00D550CF">
              <w:rPr>
                <w:rFonts w:cs="Arial"/>
                <w:b/>
                <w:bCs/>
                <w:color w:val="000000"/>
                <w:sz w:val="24"/>
                <w:szCs w:val="24"/>
                <w:lang w:val="en-US"/>
              </w:rPr>
              <w:t>Reduction in %</w:t>
            </w:r>
          </w:p>
        </w:tc>
        <w:tc>
          <w:tcPr>
            <w:tcW w:w="5529" w:type="dxa"/>
            <w:tcBorders>
              <w:top w:val="nil"/>
              <w:left w:val="nil"/>
              <w:bottom w:val="single" w:sz="4" w:space="0" w:color="auto"/>
              <w:right w:val="single" w:sz="4" w:space="0" w:color="auto"/>
            </w:tcBorders>
            <w:shd w:val="clear" w:color="auto" w:fill="D9D9D9"/>
            <w:noWrap/>
            <w:hideMark/>
          </w:tcPr>
          <w:p w:rsidR="00310F69" w:rsidRPr="00D550CF" w:rsidRDefault="00310F69" w:rsidP="006F3600">
            <w:pPr>
              <w:jc w:val="center"/>
              <w:rPr>
                <w:rFonts w:cs="Arial"/>
                <w:b/>
                <w:bCs/>
                <w:color w:val="000000"/>
                <w:sz w:val="24"/>
                <w:szCs w:val="24"/>
                <w:lang w:val="en-US"/>
              </w:rPr>
            </w:pPr>
            <w:r w:rsidRPr="00D550CF">
              <w:rPr>
                <w:rFonts w:cs="Arial"/>
                <w:b/>
                <w:bCs/>
                <w:color w:val="000000"/>
                <w:sz w:val="24"/>
                <w:szCs w:val="24"/>
                <w:lang w:val="en-US"/>
              </w:rPr>
              <w:t>12.09%</w:t>
            </w:r>
          </w:p>
        </w:tc>
      </w:tr>
    </w:tbl>
    <w:p w:rsidR="00D550CF" w:rsidRDefault="00D550CF" w:rsidP="00C87FC0">
      <w:pPr>
        <w:jc w:val="both"/>
        <w:rPr>
          <w:rFonts w:cs="Arial"/>
          <w:sz w:val="24"/>
          <w:szCs w:val="24"/>
        </w:rPr>
      </w:pPr>
    </w:p>
    <w:p w:rsidR="00310F69" w:rsidRPr="00D550CF" w:rsidRDefault="00310F69" w:rsidP="003D0F15">
      <w:pPr>
        <w:spacing w:line="360" w:lineRule="auto"/>
        <w:jc w:val="both"/>
        <w:rPr>
          <w:rFonts w:cs="Arial"/>
          <w:sz w:val="24"/>
          <w:szCs w:val="24"/>
        </w:rPr>
      </w:pPr>
      <w:r w:rsidRPr="00D550CF">
        <w:rPr>
          <w:rFonts w:cs="Arial"/>
          <w:sz w:val="24"/>
          <w:szCs w:val="24"/>
        </w:rPr>
        <w:t xml:space="preserve">The table above reflecting the trends from March 2012 to September 2016 revealed that the population of RDs reduced by 12.09% over a period of five years. This reduction should be equated to the team effort of various role players who contribute in the </w:t>
      </w:r>
      <w:r w:rsidRPr="00D550CF">
        <w:rPr>
          <w:rFonts w:cs="Arial"/>
          <w:sz w:val="24"/>
          <w:szCs w:val="24"/>
        </w:rPr>
        <w:lastRenderedPageBreak/>
        <w:t xml:space="preserve">implementation of the strategies.  These results could be much better if the factors that play a role in delaying cases could be effectively managed. A further study is required with focus on the remand detainees with co-accused whose cases take longer than three years. Another area that requires attention is the front end of the Criminal Justice System with focus on the RDs that spend up to three months in detention. </w:t>
      </w:r>
    </w:p>
    <w:p w:rsidR="00310F69" w:rsidRDefault="00310F69" w:rsidP="00C87FC0">
      <w:pPr>
        <w:rPr>
          <w:rFonts w:cs="Arial"/>
          <w:sz w:val="24"/>
          <w:szCs w:val="24"/>
        </w:rPr>
      </w:pPr>
    </w:p>
    <w:p w:rsidR="003447CE" w:rsidRPr="00D550CF" w:rsidRDefault="003447CE" w:rsidP="00C87FC0">
      <w:pPr>
        <w:rPr>
          <w:rFonts w:cs="Arial"/>
          <w:sz w:val="24"/>
          <w:szCs w:val="24"/>
        </w:rPr>
      </w:pPr>
    </w:p>
    <w:p w:rsidR="00310F69" w:rsidRPr="00D550CF" w:rsidRDefault="00310F69" w:rsidP="003D0F15">
      <w:pPr>
        <w:spacing w:line="360" w:lineRule="auto"/>
        <w:rPr>
          <w:rFonts w:cs="Arial"/>
          <w:b/>
          <w:sz w:val="24"/>
          <w:szCs w:val="24"/>
        </w:rPr>
      </w:pPr>
      <w:r w:rsidRPr="00D550CF">
        <w:rPr>
          <w:rFonts w:cs="Arial"/>
          <w:b/>
          <w:sz w:val="24"/>
          <w:szCs w:val="24"/>
        </w:rPr>
        <w:t>Children Remand Detainees</w:t>
      </w:r>
      <w:r w:rsidR="00C87FC0" w:rsidRPr="00D550CF">
        <w:rPr>
          <w:rFonts w:cs="Arial"/>
          <w:b/>
          <w:sz w:val="24"/>
          <w:szCs w:val="24"/>
        </w:rPr>
        <w:t>:</w:t>
      </w:r>
    </w:p>
    <w:p w:rsidR="00310F69" w:rsidRPr="00D550CF" w:rsidRDefault="00310F69" w:rsidP="003D0F15">
      <w:pPr>
        <w:spacing w:line="360" w:lineRule="auto"/>
        <w:rPr>
          <w:rFonts w:cs="Arial"/>
          <w:sz w:val="24"/>
          <w:szCs w:val="24"/>
        </w:rPr>
      </w:pPr>
      <w:r w:rsidRPr="00D550CF">
        <w:rPr>
          <w:rFonts w:cs="Arial"/>
          <w:sz w:val="24"/>
          <w:szCs w:val="24"/>
        </w:rPr>
        <w:t xml:space="preserve">With the introduction of the Child Justice Act (Act 75 of 2008), the number of RD children reduced from 504 in March 2010 to an annual average of 99 in 2015/16. The lowest average number of children was recorded in August 2016 (72). The overall reduction of children RDs from 2010 to August 2016 was 85.7%. </w:t>
      </w:r>
    </w:p>
    <w:p w:rsidR="00310F69" w:rsidRPr="00D550CF" w:rsidRDefault="00310F69" w:rsidP="00310F69">
      <w:pPr>
        <w:rPr>
          <w:rFonts w:ascii="Tahoma" w:hAnsi="Tahoma" w:cs="Tahoma"/>
          <w:sz w:val="24"/>
          <w:szCs w:val="24"/>
        </w:rPr>
      </w:pPr>
    </w:p>
    <w:p w:rsidR="00310F69" w:rsidRPr="00C87FC0" w:rsidRDefault="00074800" w:rsidP="00310F69">
      <w:pPr>
        <w:rPr>
          <w:rFonts w:ascii="Tahoma" w:hAnsi="Tahoma" w:cs="Tahoma"/>
          <w:sz w:val="52"/>
          <w:szCs w:val="52"/>
        </w:rPr>
      </w:pPr>
      <w:r>
        <w:rPr>
          <w:rFonts w:ascii="Tahoma" w:hAnsi="Tahoma" w:cs="Tahoma"/>
          <w:noProof/>
          <w:sz w:val="52"/>
          <w:szCs w:val="52"/>
          <w:bdr w:val="single" w:sz="18" w:space="0" w:color="auto"/>
          <w:lang w:eastAsia="en-ZA"/>
        </w:rPr>
        <w:drawing>
          <wp:inline distT="0" distB="0" distL="0" distR="0">
            <wp:extent cx="5953125" cy="2800350"/>
            <wp:effectExtent l="19050" t="0" r="9525" b="0"/>
            <wp:docPr id="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7" cstate="print"/>
                    <a:srcRect/>
                    <a:stretch>
                      <a:fillRect/>
                    </a:stretch>
                  </pic:blipFill>
                  <pic:spPr bwMode="auto">
                    <a:xfrm>
                      <a:off x="0" y="0"/>
                      <a:ext cx="5953125" cy="2800350"/>
                    </a:xfrm>
                    <a:prstGeom prst="rect">
                      <a:avLst/>
                    </a:prstGeom>
                    <a:noFill/>
                    <a:ln w="9525">
                      <a:noFill/>
                      <a:miter lim="800000"/>
                      <a:headEnd/>
                      <a:tailEnd/>
                    </a:ln>
                  </pic:spPr>
                </pic:pic>
              </a:graphicData>
            </a:graphic>
          </wp:inline>
        </w:drawing>
      </w:r>
    </w:p>
    <w:p w:rsidR="00310F69" w:rsidRPr="00D550CF" w:rsidRDefault="00310F69" w:rsidP="00C87FC0">
      <w:pPr>
        <w:jc w:val="both"/>
        <w:rPr>
          <w:rFonts w:cs="Arial"/>
          <w:sz w:val="24"/>
          <w:szCs w:val="24"/>
        </w:rPr>
      </w:pPr>
    </w:p>
    <w:p w:rsidR="00EB088A" w:rsidRPr="00D550CF" w:rsidRDefault="005717F4" w:rsidP="00834A85">
      <w:pPr>
        <w:spacing w:line="360" w:lineRule="auto"/>
        <w:jc w:val="both"/>
        <w:rPr>
          <w:rFonts w:eastAsia="Calibri" w:cs="Arial"/>
          <w:sz w:val="24"/>
          <w:szCs w:val="24"/>
          <w:lang w:eastAsia="en-ZA"/>
        </w:rPr>
      </w:pPr>
      <w:r w:rsidRPr="00D550CF">
        <w:rPr>
          <w:rFonts w:cs="Arial"/>
          <w:sz w:val="24"/>
          <w:szCs w:val="24"/>
        </w:rPr>
        <w:t>It is crucial to understand that the key drivers of the population of the remand detainees are beyond the control of the detention institutions. These drive</w:t>
      </w:r>
      <w:r w:rsidR="009B0B9E">
        <w:rPr>
          <w:rFonts w:cs="Arial"/>
          <w:sz w:val="24"/>
          <w:szCs w:val="24"/>
        </w:rPr>
        <w:t>r</w:t>
      </w:r>
      <w:r w:rsidRPr="00D550CF">
        <w:rPr>
          <w:rFonts w:cs="Arial"/>
          <w:sz w:val="24"/>
          <w:szCs w:val="24"/>
        </w:rPr>
        <w:t>s, a</w:t>
      </w:r>
      <w:r w:rsidR="00EB088A" w:rsidRPr="00D550CF">
        <w:rPr>
          <w:rFonts w:eastAsia="Calibri" w:cs="Arial"/>
          <w:sz w:val="24"/>
          <w:szCs w:val="24"/>
          <w:lang w:eastAsia="en-ZA"/>
        </w:rPr>
        <w:t xml:space="preserve">ccording to international literature, </w:t>
      </w:r>
      <w:r w:rsidRPr="00D550CF">
        <w:rPr>
          <w:rFonts w:eastAsia="Calibri" w:cs="Arial"/>
          <w:sz w:val="24"/>
          <w:szCs w:val="24"/>
          <w:lang w:eastAsia="en-ZA"/>
        </w:rPr>
        <w:t xml:space="preserve">are </w:t>
      </w:r>
      <w:r w:rsidR="00EB088A" w:rsidRPr="00D550CF">
        <w:rPr>
          <w:rFonts w:eastAsia="Calibri" w:cs="Arial"/>
          <w:sz w:val="24"/>
          <w:szCs w:val="24"/>
          <w:lang w:eastAsia="en-ZA"/>
        </w:rPr>
        <w:t xml:space="preserve">the </w:t>
      </w:r>
      <w:r w:rsidR="00EB088A" w:rsidRPr="00D550CF">
        <w:rPr>
          <w:rFonts w:eastAsia="Calibri" w:cs="Arial"/>
          <w:b/>
          <w:i/>
          <w:sz w:val="24"/>
          <w:szCs w:val="24"/>
          <w:lang w:eastAsia="en-ZA"/>
        </w:rPr>
        <w:t>use of pre-trial detention</w:t>
      </w:r>
      <w:r w:rsidR="00EB088A" w:rsidRPr="00D550CF">
        <w:rPr>
          <w:rFonts w:eastAsia="Calibri" w:cs="Arial"/>
          <w:sz w:val="24"/>
          <w:szCs w:val="24"/>
          <w:lang w:eastAsia="en-ZA"/>
        </w:rPr>
        <w:t xml:space="preserve"> and </w:t>
      </w:r>
      <w:r w:rsidR="00EB088A" w:rsidRPr="00D550CF">
        <w:rPr>
          <w:rFonts w:eastAsia="Calibri" w:cs="Arial"/>
          <w:b/>
          <w:i/>
          <w:sz w:val="24"/>
          <w:szCs w:val="24"/>
          <w:lang w:eastAsia="en-ZA"/>
        </w:rPr>
        <w:t>the increasing trend in serious crimes</w:t>
      </w:r>
      <w:r w:rsidR="00EB088A" w:rsidRPr="00D550CF">
        <w:rPr>
          <w:rFonts w:eastAsia="Calibri" w:cs="Arial"/>
          <w:sz w:val="24"/>
          <w:szCs w:val="24"/>
          <w:lang w:eastAsia="en-ZA"/>
        </w:rPr>
        <w:t>. The increase in serious crimes is closely related to an increase in the use of pre-trial detention by courts without the option of bail.</w:t>
      </w:r>
    </w:p>
    <w:p w:rsidR="00EB088A" w:rsidRPr="00D550CF" w:rsidRDefault="00EB088A" w:rsidP="00834A85">
      <w:pPr>
        <w:widowControl w:val="0"/>
        <w:autoSpaceDE w:val="0"/>
        <w:autoSpaceDN w:val="0"/>
        <w:adjustRightInd w:val="0"/>
        <w:spacing w:line="360" w:lineRule="auto"/>
        <w:ind w:left="900" w:right="-22" w:hanging="900"/>
        <w:jc w:val="both"/>
        <w:rPr>
          <w:rFonts w:eastAsia="Calibri" w:cs="Arial"/>
          <w:sz w:val="24"/>
          <w:szCs w:val="24"/>
          <w:lang w:eastAsia="en-ZA"/>
        </w:rPr>
      </w:pPr>
    </w:p>
    <w:p w:rsidR="00EB088A" w:rsidRPr="00D550CF" w:rsidRDefault="00EB088A" w:rsidP="00834A85">
      <w:pPr>
        <w:widowControl w:val="0"/>
        <w:autoSpaceDE w:val="0"/>
        <w:autoSpaceDN w:val="0"/>
        <w:adjustRightInd w:val="0"/>
        <w:spacing w:line="360" w:lineRule="auto"/>
        <w:ind w:right="-22"/>
        <w:jc w:val="both"/>
        <w:rPr>
          <w:rFonts w:eastAsia="Calibri" w:cs="Arial"/>
          <w:sz w:val="24"/>
          <w:szCs w:val="24"/>
          <w:lang w:eastAsia="en-ZA"/>
        </w:rPr>
      </w:pPr>
      <w:r w:rsidRPr="00D550CF">
        <w:rPr>
          <w:rFonts w:eastAsia="Calibri" w:cs="Arial"/>
          <w:i/>
          <w:sz w:val="24"/>
          <w:szCs w:val="24"/>
          <w:lang w:eastAsia="en-ZA"/>
        </w:rPr>
        <w:t>T</w:t>
      </w:r>
      <w:r w:rsidRPr="00D550CF">
        <w:rPr>
          <w:rFonts w:eastAsia="Calibri" w:cs="Arial"/>
          <w:b/>
          <w:i/>
          <w:sz w:val="24"/>
          <w:szCs w:val="24"/>
          <w:lang w:eastAsia="en-ZA"/>
        </w:rPr>
        <w:t>he number of admissions</w:t>
      </w:r>
      <w:r w:rsidRPr="00D550CF">
        <w:rPr>
          <w:rFonts w:eastAsia="Calibri" w:cs="Arial"/>
          <w:sz w:val="24"/>
          <w:szCs w:val="24"/>
          <w:lang w:eastAsia="en-ZA"/>
        </w:rPr>
        <w:t xml:space="preserve"> and </w:t>
      </w:r>
      <w:r w:rsidRPr="00D550CF">
        <w:rPr>
          <w:rFonts w:eastAsia="Calibri" w:cs="Arial"/>
          <w:b/>
          <w:i/>
          <w:sz w:val="24"/>
          <w:szCs w:val="24"/>
          <w:lang w:eastAsia="en-ZA"/>
        </w:rPr>
        <w:t>the length of stay</w:t>
      </w:r>
      <w:r w:rsidRPr="00D550CF">
        <w:rPr>
          <w:rFonts w:eastAsia="Calibri" w:cs="Arial"/>
          <w:b/>
          <w:sz w:val="24"/>
          <w:szCs w:val="24"/>
          <w:lang w:eastAsia="en-ZA"/>
        </w:rPr>
        <w:t xml:space="preserve"> </w:t>
      </w:r>
      <w:r w:rsidRPr="00D550CF">
        <w:rPr>
          <w:rFonts w:eastAsia="Calibri" w:cs="Arial"/>
          <w:sz w:val="24"/>
          <w:szCs w:val="24"/>
          <w:lang w:eastAsia="en-ZA"/>
        </w:rPr>
        <w:t>are regarded as other</w:t>
      </w:r>
      <w:r w:rsidRPr="00D550CF">
        <w:rPr>
          <w:rFonts w:eastAsia="Calibri" w:cs="Arial"/>
          <w:b/>
          <w:sz w:val="24"/>
          <w:szCs w:val="24"/>
          <w:lang w:eastAsia="en-ZA"/>
        </w:rPr>
        <w:t xml:space="preserve"> </w:t>
      </w:r>
      <w:r w:rsidRPr="00D550CF">
        <w:rPr>
          <w:rFonts w:eastAsia="Calibri" w:cs="Arial"/>
          <w:sz w:val="24"/>
          <w:szCs w:val="24"/>
          <w:lang w:eastAsia="en-ZA"/>
        </w:rPr>
        <w:t xml:space="preserve">drivers which are beyond the control of institutions responsible for the detention of RDs. Factors found to be linked to </w:t>
      </w:r>
      <w:r w:rsidR="005717F4" w:rsidRPr="00D550CF">
        <w:rPr>
          <w:rFonts w:eastAsia="Calibri" w:cs="Arial"/>
          <w:sz w:val="24"/>
          <w:szCs w:val="24"/>
          <w:lang w:eastAsia="en-ZA"/>
        </w:rPr>
        <w:t xml:space="preserve">the increase in the length of stay of remand detainees </w:t>
      </w:r>
      <w:r w:rsidRPr="00D550CF">
        <w:rPr>
          <w:rFonts w:eastAsia="Calibri" w:cs="Arial"/>
          <w:sz w:val="24"/>
          <w:szCs w:val="24"/>
          <w:lang w:eastAsia="en-ZA"/>
        </w:rPr>
        <w:t xml:space="preserve">are as follows, </w:t>
      </w:r>
    </w:p>
    <w:p w:rsidR="00EB088A" w:rsidRPr="00D550CF" w:rsidRDefault="005717F4"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The presence of m</w:t>
      </w:r>
      <w:r w:rsidR="00EB088A" w:rsidRPr="00D550CF">
        <w:rPr>
          <w:rFonts w:eastAsia="ヒラギノ角ゴ Pro W3" w:cs="Arial"/>
          <w:sz w:val="24"/>
          <w:szCs w:val="24"/>
          <w:lang w:eastAsia="en-ZA"/>
        </w:rPr>
        <w:t>ultiple co-accused in one case or accused linked to other crimes that are under investigation;</w:t>
      </w:r>
    </w:p>
    <w:p w:rsidR="00EB088A" w:rsidRPr="00D550CF" w:rsidRDefault="00EB088A"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Withdrawal</w:t>
      </w:r>
      <w:r w:rsidR="005717F4" w:rsidRPr="00D550CF">
        <w:rPr>
          <w:rFonts w:eastAsia="ヒラギノ角ゴ Pro W3" w:cs="Arial"/>
          <w:sz w:val="24"/>
          <w:szCs w:val="24"/>
          <w:lang w:eastAsia="en-ZA"/>
        </w:rPr>
        <w:t xml:space="preserve">, rehiring </w:t>
      </w:r>
      <w:r w:rsidRPr="00D550CF">
        <w:rPr>
          <w:rFonts w:eastAsia="ヒラギノ角ゴ Pro W3" w:cs="Arial"/>
          <w:sz w:val="24"/>
          <w:szCs w:val="24"/>
          <w:lang w:eastAsia="en-ZA"/>
        </w:rPr>
        <w:t>of legal representati</w:t>
      </w:r>
      <w:r w:rsidR="005717F4" w:rsidRPr="00D550CF">
        <w:rPr>
          <w:rFonts w:eastAsia="ヒラギノ角ゴ Pro W3" w:cs="Arial"/>
          <w:sz w:val="24"/>
          <w:szCs w:val="24"/>
          <w:lang w:eastAsia="en-ZA"/>
        </w:rPr>
        <w:t xml:space="preserve">ves and changing of legal representatives by the accused; </w:t>
      </w:r>
    </w:p>
    <w:p w:rsidR="005717F4" w:rsidRPr="00D550CF" w:rsidRDefault="005717F4"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Failure of the co-accused and or their legal representative to appear in court on set dates th</w:t>
      </w:r>
      <w:r w:rsidR="00140F6B" w:rsidRPr="00D550CF">
        <w:rPr>
          <w:rFonts w:eastAsia="ヒラギノ角ゴ Pro W3" w:cs="Arial"/>
          <w:sz w:val="24"/>
          <w:szCs w:val="24"/>
          <w:lang w:eastAsia="en-ZA"/>
        </w:rPr>
        <w:t>u</w:t>
      </w:r>
      <w:r w:rsidRPr="00D550CF">
        <w:rPr>
          <w:rFonts w:eastAsia="ヒラギノ角ゴ Pro W3" w:cs="Arial"/>
          <w:sz w:val="24"/>
          <w:szCs w:val="24"/>
          <w:lang w:eastAsia="en-ZA"/>
        </w:rPr>
        <w:t>s leading to remanding of the cases for several times;</w:t>
      </w:r>
      <w:r w:rsidR="00140F6B" w:rsidRPr="00D550CF">
        <w:rPr>
          <w:rFonts w:eastAsia="ヒラギノ角ゴ Pro W3" w:cs="Arial"/>
          <w:sz w:val="24"/>
          <w:szCs w:val="24"/>
          <w:lang w:eastAsia="en-ZA"/>
        </w:rPr>
        <w:t xml:space="preserve"> </w:t>
      </w:r>
    </w:p>
    <w:p w:rsidR="00140F6B" w:rsidRPr="00D550CF" w:rsidRDefault="00140F6B"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Request for the separation of trials by the accused in the middle of the cases;</w:t>
      </w:r>
    </w:p>
    <w:p w:rsidR="00140F6B" w:rsidRPr="00D550CF" w:rsidRDefault="00140F6B"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Brings of bail applications by the accused in the middle of the trail through the bail application was attended to at the beginning of the case;</w:t>
      </w:r>
    </w:p>
    <w:p w:rsidR="00EB088A" w:rsidRPr="00D550CF" w:rsidRDefault="00EB088A"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Delays in securing a date at the high court</w:t>
      </w:r>
      <w:r w:rsidR="005717F4" w:rsidRPr="00D550CF">
        <w:rPr>
          <w:rFonts w:eastAsia="ヒラギノ角ゴ Pro W3" w:cs="Arial"/>
          <w:sz w:val="24"/>
          <w:szCs w:val="24"/>
          <w:lang w:eastAsia="en-ZA"/>
        </w:rPr>
        <w:t xml:space="preserve"> for the cases that are escalated by lower courts to high courts</w:t>
      </w:r>
      <w:r w:rsidRPr="00D550CF">
        <w:rPr>
          <w:rFonts w:eastAsia="ヒラギノ角ゴ Pro W3" w:cs="Arial"/>
          <w:sz w:val="24"/>
          <w:szCs w:val="24"/>
          <w:lang w:eastAsia="en-ZA"/>
        </w:rPr>
        <w:t>;</w:t>
      </w:r>
    </w:p>
    <w:p w:rsidR="00EB088A" w:rsidRPr="00D550CF" w:rsidRDefault="00EB088A"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Loss of court records;</w:t>
      </w:r>
    </w:p>
    <w:p w:rsidR="00EB088A" w:rsidRPr="00D550CF" w:rsidRDefault="00EB088A"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Failure of witnesses to appear in court;</w:t>
      </w:r>
    </w:p>
    <w:p w:rsidR="00EB088A" w:rsidRPr="00D550CF" w:rsidRDefault="00140F6B"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Presence of m</w:t>
      </w:r>
      <w:r w:rsidR="00EB088A" w:rsidRPr="00D550CF">
        <w:rPr>
          <w:rFonts w:eastAsia="ヒラギノ角ゴ Pro W3" w:cs="Arial"/>
          <w:sz w:val="24"/>
          <w:szCs w:val="24"/>
          <w:lang w:eastAsia="en-ZA"/>
        </w:rPr>
        <w:t>ultiple witnesses</w:t>
      </w:r>
      <w:r w:rsidRPr="00D550CF">
        <w:rPr>
          <w:rFonts w:eastAsia="ヒラギノ角ゴ Pro W3" w:cs="Arial"/>
          <w:sz w:val="24"/>
          <w:szCs w:val="24"/>
          <w:lang w:eastAsia="en-ZA"/>
        </w:rPr>
        <w:t xml:space="preserve"> in some cases</w:t>
      </w:r>
      <w:r w:rsidR="00EB088A" w:rsidRPr="00D550CF">
        <w:rPr>
          <w:rFonts w:eastAsia="ヒラギノ角ゴ Pro W3" w:cs="Arial"/>
          <w:sz w:val="24"/>
          <w:szCs w:val="24"/>
          <w:lang w:eastAsia="en-ZA"/>
        </w:rPr>
        <w:t>;</w:t>
      </w:r>
    </w:p>
    <w:p w:rsidR="00EB088A" w:rsidRPr="00D550CF" w:rsidRDefault="00EB088A"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Requests for remand either by defence, lawyers of the accused and/or the state;</w:t>
      </w:r>
    </w:p>
    <w:p w:rsidR="00EB088A" w:rsidRPr="00D550CF" w:rsidRDefault="00EB088A" w:rsidP="00834A85">
      <w:pPr>
        <w:widowControl w:val="0"/>
        <w:numPr>
          <w:ilvl w:val="0"/>
          <w:numId w:val="1"/>
        </w:numPr>
        <w:tabs>
          <w:tab w:val="left" w:pos="1080"/>
        </w:tabs>
        <w:autoSpaceDE w:val="0"/>
        <w:autoSpaceDN w:val="0"/>
        <w:adjustRightInd w:val="0"/>
        <w:spacing w:line="360" w:lineRule="auto"/>
        <w:ind w:left="1080" w:right="-22" w:hanging="540"/>
        <w:contextualSpacing/>
        <w:jc w:val="both"/>
        <w:rPr>
          <w:rFonts w:eastAsia="Calibri" w:cs="Arial"/>
          <w:sz w:val="24"/>
          <w:szCs w:val="24"/>
          <w:lang w:eastAsia="en-ZA"/>
        </w:rPr>
      </w:pPr>
      <w:r w:rsidRPr="00D550CF">
        <w:rPr>
          <w:rFonts w:eastAsia="ヒラギノ角ゴ Pro W3" w:cs="Arial"/>
          <w:sz w:val="24"/>
          <w:szCs w:val="24"/>
          <w:lang w:eastAsia="en-ZA"/>
        </w:rPr>
        <w:t xml:space="preserve">Failure of the </w:t>
      </w:r>
      <w:r w:rsidR="00140F6B" w:rsidRPr="00D550CF">
        <w:rPr>
          <w:rFonts w:eastAsia="ヒラギノ角ゴ Pro W3" w:cs="Arial"/>
          <w:sz w:val="24"/>
          <w:szCs w:val="24"/>
          <w:lang w:eastAsia="en-ZA"/>
        </w:rPr>
        <w:t>co-</w:t>
      </w:r>
      <w:r w:rsidRPr="00D550CF">
        <w:rPr>
          <w:rFonts w:eastAsia="ヒラギノ角ゴ Pro W3" w:cs="Arial"/>
          <w:sz w:val="24"/>
          <w:szCs w:val="24"/>
          <w:lang w:eastAsia="en-ZA"/>
        </w:rPr>
        <w:t>accused to appear in court</w:t>
      </w:r>
      <w:r w:rsidR="00140F6B" w:rsidRPr="00D550CF">
        <w:rPr>
          <w:rFonts w:eastAsia="ヒラギノ角ゴ Pro W3" w:cs="Arial"/>
          <w:sz w:val="24"/>
          <w:szCs w:val="24"/>
          <w:lang w:eastAsia="en-ZA"/>
        </w:rPr>
        <w:t xml:space="preserve"> especially those that are under non-custodial system</w:t>
      </w:r>
      <w:r w:rsidRPr="00D550CF">
        <w:rPr>
          <w:rFonts w:eastAsia="ヒラギノ角ゴ Pro W3" w:cs="Arial"/>
          <w:sz w:val="24"/>
          <w:szCs w:val="24"/>
          <w:lang w:eastAsia="en-ZA"/>
        </w:rPr>
        <w:t xml:space="preserve">; </w:t>
      </w:r>
    </w:p>
    <w:p w:rsidR="00EB088A" w:rsidRPr="00D550CF" w:rsidRDefault="00EB088A" w:rsidP="00834A85">
      <w:pPr>
        <w:spacing w:line="360" w:lineRule="auto"/>
        <w:ind w:left="1440" w:right="-22"/>
        <w:contextualSpacing/>
        <w:jc w:val="both"/>
        <w:rPr>
          <w:rFonts w:eastAsia="Calibri" w:cs="Arial"/>
          <w:sz w:val="24"/>
          <w:szCs w:val="24"/>
          <w:lang w:eastAsia="en-ZA"/>
        </w:rPr>
      </w:pPr>
    </w:p>
    <w:p w:rsidR="00140F6B" w:rsidRPr="00D550CF" w:rsidRDefault="00B061C4" w:rsidP="00834A85">
      <w:pPr>
        <w:widowControl w:val="0"/>
        <w:autoSpaceDE w:val="0"/>
        <w:autoSpaceDN w:val="0"/>
        <w:adjustRightInd w:val="0"/>
        <w:spacing w:line="360" w:lineRule="auto"/>
        <w:ind w:right="-22"/>
        <w:jc w:val="both"/>
        <w:rPr>
          <w:rFonts w:eastAsia="Calibri" w:cs="Arial"/>
          <w:sz w:val="24"/>
          <w:szCs w:val="24"/>
          <w:lang w:eastAsia="en-ZA"/>
        </w:rPr>
      </w:pPr>
      <w:r w:rsidRPr="00D550CF">
        <w:rPr>
          <w:rFonts w:eastAsia="Calibri" w:cs="Arial"/>
          <w:sz w:val="24"/>
          <w:szCs w:val="24"/>
          <w:lang w:eastAsia="en-ZA"/>
        </w:rPr>
        <w:t>In addition to the previous</w:t>
      </w:r>
      <w:r w:rsidR="000D78F7" w:rsidRPr="00D550CF">
        <w:rPr>
          <w:rFonts w:eastAsia="Calibri" w:cs="Arial"/>
          <w:sz w:val="24"/>
          <w:szCs w:val="24"/>
          <w:lang w:eastAsia="en-ZA"/>
        </w:rPr>
        <w:t>ly mentioned key drivers, there</w:t>
      </w:r>
      <w:r w:rsidRPr="00D550CF">
        <w:rPr>
          <w:rFonts w:eastAsia="Calibri" w:cs="Arial"/>
          <w:sz w:val="24"/>
          <w:szCs w:val="24"/>
          <w:lang w:eastAsia="en-ZA"/>
        </w:rPr>
        <w:t xml:space="preserve"> are other factor</w:t>
      </w:r>
      <w:r w:rsidR="00637445" w:rsidRPr="00D550CF">
        <w:rPr>
          <w:rFonts w:eastAsia="Calibri" w:cs="Arial"/>
          <w:sz w:val="24"/>
          <w:szCs w:val="24"/>
          <w:lang w:eastAsia="en-ZA"/>
        </w:rPr>
        <w:t>s</w:t>
      </w:r>
      <w:r w:rsidRPr="00D550CF">
        <w:rPr>
          <w:rFonts w:eastAsia="Calibri" w:cs="Arial"/>
          <w:sz w:val="24"/>
          <w:szCs w:val="24"/>
          <w:lang w:eastAsia="en-ZA"/>
        </w:rPr>
        <w:t xml:space="preserve"> that are thought to play a role in the failure to reduce the number of RD’s. These factors include fa</w:t>
      </w:r>
      <w:r w:rsidR="000D78F7" w:rsidRPr="00D550CF">
        <w:rPr>
          <w:rFonts w:eastAsia="Calibri" w:cs="Arial"/>
          <w:sz w:val="24"/>
          <w:szCs w:val="24"/>
          <w:lang w:eastAsia="en-ZA"/>
        </w:rPr>
        <w:t>ilure to pay bail by the remand</w:t>
      </w:r>
      <w:r w:rsidR="00637445" w:rsidRPr="00D550CF">
        <w:rPr>
          <w:rFonts w:eastAsia="Calibri" w:cs="Arial"/>
          <w:sz w:val="24"/>
          <w:szCs w:val="24"/>
          <w:lang w:eastAsia="en-ZA"/>
        </w:rPr>
        <w:t xml:space="preserve"> detainees who have been given bail by courts. The percentage of such RD’s ranges between 15 and 19%.</w:t>
      </w:r>
    </w:p>
    <w:p w:rsidR="00140F6B" w:rsidRPr="00D550CF" w:rsidRDefault="00140F6B" w:rsidP="00834A85">
      <w:pPr>
        <w:widowControl w:val="0"/>
        <w:autoSpaceDE w:val="0"/>
        <w:autoSpaceDN w:val="0"/>
        <w:adjustRightInd w:val="0"/>
        <w:spacing w:line="360" w:lineRule="auto"/>
        <w:ind w:right="-22"/>
        <w:jc w:val="both"/>
        <w:rPr>
          <w:rFonts w:eastAsia="Calibri" w:cs="Arial"/>
          <w:sz w:val="24"/>
          <w:szCs w:val="24"/>
          <w:lang w:eastAsia="en-ZA"/>
        </w:rPr>
      </w:pPr>
    </w:p>
    <w:p w:rsidR="00140F6B" w:rsidRPr="00D550CF" w:rsidRDefault="00140F6B" w:rsidP="00834A85">
      <w:pPr>
        <w:widowControl w:val="0"/>
        <w:autoSpaceDE w:val="0"/>
        <w:autoSpaceDN w:val="0"/>
        <w:adjustRightInd w:val="0"/>
        <w:spacing w:line="360" w:lineRule="auto"/>
        <w:ind w:right="-22"/>
        <w:jc w:val="both"/>
        <w:rPr>
          <w:rFonts w:eastAsia="Calibri" w:cs="Arial"/>
          <w:sz w:val="24"/>
          <w:szCs w:val="24"/>
          <w:lang w:eastAsia="en-ZA"/>
        </w:rPr>
      </w:pPr>
      <w:r w:rsidRPr="00D550CF">
        <w:rPr>
          <w:rFonts w:eastAsia="Calibri" w:cs="Arial"/>
          <w:sz w:val="24"/>
          <w:szCs w:val="24"/>
          <w:lang w:eastAsia="en-ZA"/>
        </w:rPr>
        <w:t xml:space="preserve">Despite all the challenges mentioned above there </w:t>
      </w:r>
      <w:r w:rsidR="009B0B9E">
        <w:rPr>
          <w:rFonts w:eastAsia="Calibri" w:cs="Arial"/>
          <w:sz w:val="24"/>
          <w:szCs w:val="24"/>
          <w:lang w:eastAsia="en-ZA"/>
        </w:rPr>
        <w:t xml:space="preserve">are </w:t>
      </w:r>
      <w:r w:rsidRPr="00D550CF">
        <w:rPr>
          <w:rFonts w:eastAsia="Calibri" w:cs="Arial"/>
          <w:sz w:val="24"/>
          <w:szCs w:val="24"/>
          <w:lang w:eastAsia="en-ZA"/>
        </w:rPr>
        <w:t xml:space="preserve">several strategies implemented to deal with overcrowding at the cluster level and the departmental level. </w:t>
      </w:r>
    </w:p>
    <w:p w:rsidR="00310F69" w:rsidRPr="00D550CF" w:rsidRDefault="00310F69" w:rsidP="00834A85">
      <w:pPr>
        <w:spacing w:line="360" w:lineRule="auto"/>
        <w:jc w:val="both"/>
        <w:rPr>
          <w:rFonts w:eastAsia="Calibri" w:cs="Arial"/>
          <w:sz w:val="24"/>
          <w:szCs w:val="24"/>
          <w:lang w:val="en-US"/>
        </w:rPr>
      </w:pPr>
    </w:p>
    <w:p w:rsidR="00D61E55" w:rsidRPr="00D550CF" w:rsidRDefault="00310F69" w:rsidP="00834A85">
      <w:pPr>
        <w:spacing w:line="360" w:lineRule="auto"/>
        <w:ind w:right="26"/>
        <w:jc w:val="both"/>
        <w:rPr>
          <w:rFonts w:eastAsia="Calibri" w:cs="Arial"/>
          <w:sz w:val="24"/>
          <w:szCs w:val="24"/>
          <w:lang w:val="en-US"/>
        </w:rPr>
      </w:pPr>
      <w:r w:rsidRPr="00D550CF">
        <w:rPr>
          <w:rFonts w:eastAsia="Calibri" w:cs="Arial"/>
          <w:sz w:val="24"/>
          <w:szCs w:val="24"/>
          <w:lang w:val="en-US"/>
        </w:rPr>
        <w:t>A</w:t>
      </w:r>
      <w:r w:rsidR="00A07908" w:rsidRPr="00D550CF">
        <w:rPr>
          <w:rFonts w:eastAsia="Calibri" w:cs="Arial"/>
          <w:sz w:val="24"/>
          <w:szCs w:val="24"/>
          <w:lang w:val="en-US"/>
        </w:rPr>
        <w:t xml:space="preserve">dditional </w:t>
      </w:r>
      <w:r w:rsidR="00D61E55" w:rsidRPr="00D550CF">
        <w:rPr>
          <w:rFonts w:eastAsia="Calibri" w:cs="Arial"/>
          <w:sz w:val="24"/>
          <w:szCs w:val="24"/>
          <w:lang w:val="en-US"/>
        </w:rPr>
        <w:t xml:space="preserve">interventions which specifically focus on the down management of remand detainees by the DCS are: </w:t>
      </w:r>
    </w:p>
    <w:p w:rsidR="00EB088A" w:rsidRPr="00D550CF" w:rsidRDefault="00EB088A" w:rsidP="00834A85">
      <w:pPr>
        <w:spacing w:line="360" w:lineRule="auto"/>
        <w:ind w:right="-760"/>
        <w:jc w:val="both"/>
        <w:rPr>
          <w:rFonts w:eastAsia="Calibri" w:cs="Arial"/>
          <w:sz w:val="24"/>
          <w:szCs w:val="24"/>
          <w:lang w:val="en-US"/>
        </w:rPr>
      </w:pPr>
    </w:p>
    <w:p w:rsidR="00EB088A" w:rsidRPr="00D550CF" w:rsidRDefault="00D61E55" w:rsidP="00834A85">
      <w:pPr>
        <w:numPr>
          <w:ilvl w:val="0"/>
          <w:numId w:val="7"/>
        </w:numPr>
        <w:spacing w:line="360" w:lineRule="auto"/>
        <w:ind w:right="4"/>
        <w:contextualSpacing/>
        <w:jc w:val="both"/>
        <w:rPr>
          <w:rFonts w:eastAsia="Calibri" w:cs="Arial"/>
          <w:sz w:val="24"/>
          <w:szCs w:val="24"/>
          <w:lang w:val="en-US"/>
        </w:rPr>
      </w:pPr>
      <w:r w:rsidRPr="00D550CF">
        <w:rPr>
          <w:rFonts w:eastAsia="Calibri" w:cs="Arial"/>
          <w:sz w:val="24"/>
          <w:szCs w:val="24"/>
          <w:lang w:val="en-US"/>
        </w:rPr>
        <w:t>The i</w:t>
      </w:r>
      <w:r w:rsidR="00EB088A" w:rsidRPr="00D550CF">
        <w:rPr>
          <w:rFonts w:eastAsia="Calibri" w:cs="Arial"/>
          <w:sz w:val="24"/>
          <w:szCs w:val="24"/>
          <w:lang w:val="en-US"/>
        </w:rPr>
        <w:t xml:space="preserve">mplementation of bail protocol (Section 63A of Criminal Procedure Act, Act 51 of 1977). The protocol makes provision for the Head of a Correctional Centre to approach the relevant court to release an accused on warning in lieu of bail or to amend the bail conditions imposed by that court when the offender population of a particular correctional centre is reaching such proportions that it constitutes a material and imminent threat to human dignity, physical health or safety of the accused. It is worth mentioning that this section is only applicable to those accused with bail who have been charged with Schedule 7 crimes. </w:t>
      </w:r>
    </w:p>
    <w:p w:rsidR="00EB088A" w:rsidRPr="00D550CF" w:rsidRDefault="00EB088A" w:rsidP="00834A85">
      <w:pPr>
        <w:spacing w:line="360" w:lineRule="auto"/>
        <w:ind w:left="426" w:right="4" w:hanging="426"/>
        <w:contextualSpacing/>
        <w:jc w:val="both"/>
        <w:rPr>
          <w:rFonts w:eastAsia="Calibri" w:cs="Arial"/>
          <w:sz w:val="24"/>
          <w:szCs w:val="24"/>
          <w:lang w:val="en-US"/>
        </w:rPr>
      </w:pPr>
    </w:p>
    <w:p w:rsidR="00EB088A" w:rsidRPr="00D550CF" w:rsidRDefault="00D61E55" w:rsidP="00834A85">
      <w:pPr>
        <w:numPr>
          <w:ilvl w:val="0"/>
          <w:numId w:val="7"/>
        </w:numPr>
        <w:spacing w:line="360" w:lineRule="auto"/>
        <w:ind w:right="4"/>
        <w:contextualSpacing/>
        <w:jc w:val="both"/>
        <w:rPr>
          <w:rFonts w:eastAsia="Calibri" w:cs="Arial"/>
          <w:sz w:val="24"/>
          <w:szCs w:val="24"/>
          <w:lang w:val="en-US"/>
        </w:rPr>
      </w:pPr>
      <w:r w:rsidRPr="00D550CF">
        <w:rPr>
          <w:rFonts w:eastAsia="Calibri" w:cs="Arial"/>
          <w:sz w:val="24"/>
          <w:szCs w:val="24"/>
          <w:lang w:val="en-US"/>
        </w:rPr>
        <w:t xml:space="preserve">The </w:t>
      </w:r>
      <w:r w:rsidR="00EB088A" w:rsidRPr="00D550CF">
        <w:rPr>
          <w:rFonts w:eastAsia="Calibri" w:cs="Arial"/>
          <w:sz w:val="24"/>
          <w:szCs w:val="24"/>
          <w:lang w:val="en-US"/>
        </w:rPr>
        <w:t xml:space="preserve">Marketing of section 63(1) of the Criminal Procedure Act (Act 51 of 1977). Section 63(1) makes provision for the accused or prosecutor to make an application to the court to reduce the amount of bail that was set by the relevant court.  </w:t>
      </w:r>
      <w:r w:rsidR="005E54FC" w:rsidRPr="00D550CF">
        <w:rPr>
          <w:rFonts w:eastAsia="Calibri" w:cs="Arial"/>
          <w:sz w:val="24"/>
          <w:szCs w:val="24"/>
          <w:lang w:val="en-US"/>
        </w:rPr>
        <w:t xml:space="preserve"> </w:t>
      </w:r>
    </w:p>
    <w:p w:rsidR="00EB088A" w:rsidRPr="00D550CF" w:rsidRDefault="00EB088A" w:rsidP="00834A85">
      <w:pPr>
        <w:spacing w:line="360" w:lineRule="auto"/>
        <w:ind w:right="4"/>
        <w:contextualSpacing/>
        <w:jc w:val="both"/>
        <w:rPr>
          <w:rFonts w:eastAsia="Calibri" w:cs="Arial"/>
          <w:sz w:val="24"/>
          <w:szCs w:val="24"/>
          <w:lang w:val="en-US"/>
        </w:rPr>
      </w:pPr>
    </w:p>
    <w:p w:rsidR="00EB088A" w:rsidRPr="00D550CF" w:rsidRDefault="005E54FC" w:rsidP="00834A85">
      <w:pPr>
        <w:numPr>
          <w:ilvl w:val="0"/>
          <w:numId w:val="7"/>
        </w:numPr>
        <w:spacing w:line="360" w:lineRule="auto"/>
        <w:ind w:right="4"/>
        <w:contextualSpacing/>
        <w:jc w:val="both"/>
        <w:rPr>
          <w:rFonts w:eastAsia="Calibri" w:cs="Arial"/>
          <w:sz w:val="24"/>
          <w:szCs w:val="24"/>
          <w:lang w:val="en-US"/>
        </w:rPr>
      </w:pPr>
      <w:r w:rsidRPr="00D550CF">
        <w:rPr>
          <w:rFonts w:eastAsia="Calibri" w:cs="Arial"/>
          <w:sz w:val="24"/>
          <w:szCs w:val="24"/>
          <w:lang w:val="en-US"/>
        </w:rPr>
        <w:t xml:space="preserve">Referral of RDs to court for consideration of their length of detention. The Correctional Service Act </w:t>
      </w:r>
      <w:r w:rsidR="00EE4DA7" w:rsidRPr="00D550CF">
        <w:rPr>
          <w:rFonts w:eastAsia="Calibri" w:cs="Arial"/>
          <w:sz w:val="24"/>
          <w:szCs w:val="24"/>
          <w:lang w:val="en-US"/>
        </w:rPr>
        <w:t xml:space="preserve">(section 49G) </w:t>
      </w:r>
      <w:r w:rsidRPr="00D550CF">
        <w:rPr>
          <w:rFonts w:eastAsia="Calibri" w:cs="Arial"/>
          <w:sz w:val="24"/>
          <w:szCs w:val="24"/>
          <w:lang w:val="en-US"/>
        </w:rPr>
        <w:t xml:space="preserve">makes provision for the Head of the Centre to submit an application to court for the consideration of the length of detention of the RDs before they complete two years in detention initially (application submitted at 21 months) and annually with regard to subsequent applications. The provision does not suggest that there is custody limit in terms of period of detention in South Africa for RDs. The courts responds by utilizing the provisions applicable to section 63A applications as there is no parallel provision in the Criminal Procedure Act. </w:t>
      </w:r>
    </w:p>
    <w:p w:rsidR="001C2AD3" w:rsidRPr="00D550CF" w:rsidRDefault="001C2AD3" w:rsidP="00834A85">
      <w:pPr>
        <w:spacing w:line="360" w:lineRule="auto"/>
        <w:rPr>
          <w:rFonts w:cs="Arial"/>
          <w:sz w:val="24"/>
          <w:szCs w:val="24"/>
        </w:rPr>
      </w:pPr>
    </w:p>
    <w:p w:rsidR="003E34AF" w:rsidRPr="00D550CF" w:rsidRDefault="00715A5A" w:rsidP="00834A85">
      <w:pPr>
        <w:spacing w:line="360" w:lineRule="auto"/>
        <w:jc w:val="both"/>
        <w:rPr>
          <w:rFonts w:cs="Arial"/>
          <w:sz w:val="24"/>
          <w:szCs w:val="24"/>
        </w:rPr>
      </w:pPr>
      <w:r w:rsidRPr="00D550CF">
        <w:rPr>
          <w:rFonts w:cs="Arial"/>
          <w:sz w:val="24"/>
          <w:szCs w:val="24"/>
        </w:rPr>
        <w:t xml:space="preserve">The cluster approach in the reduction management of remand detainees appears to be effective. </w:t>
      </w:r>
      <w:r w:rsidR="003E34AF" w:rsidRPr="00D550CF">
        <w:rPr>
          <w:rFonts w:cs="Arial"/>
          <w:sz w:val="24"/>
          <w:szCs w:val="24"/>
        </w:rPr>
        <w:t xml:space="preserve">The DCS alone could not be successful in reducing the population of the RDs. The Executive Head of the Department of Justice and Correctional Services in consultation with Director of NPA and the National Commissioner of Correctional Services has appointed a bail task team which has been assigned to determine factors that contribute to the RDs staying in detention while they have an option of paying bail. The task team falling under the Criminal Justice System Reform is finalizing the report on audit conducted in Pollsmoor and the Mthatha centres remand detention facilities. It is hoped that the report will assist in providing guidance on coming up with alternative approaches for managing RDs with bail. </w:t>
      </w:r>
    </w:p>
    <w:p w:rsidR="003E34AF" w:rsidRPr="00D550CF" w:rsidRDefault="003E34AF" w:rsidP="00834A85">
      <w:pPr>
        <w:spacing w:line="360" w:lineRule="auto"/>
        <w:jc w:val="both"/>
        <w:rPr>
          <w:rFonts w:cs="Arial"/>
          <w:sz w:val="24"/>
          <w:szCs w:val="24"/>
        </w:rPr>
      </w:pPr>
    </w:p>
    <w:sectPr w:rsidR="003E34AF" w:rsidRPr="00D550CF" w:rsidSect="003447CE">
      <w:pgSz w:w="12240" w:h="15840"/>
      <w:pgMar w:top="993" w:right="1135" w:bottom="993" w:left="1440" w:header="720" w:footer="4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4D" w:rsidRDefault="00A6264D" w:rsidP="003E34AF">
      <w:r>
        <w:separator/>
      </w:r>
    </w:p>
  </w:endnote>
  <w:endnote w:type="continuationSeparator" w:id="0">
    <w:p w:rsidR="00A6264D" w:rsidRDefault="00A6264D" w:rsidP="003E3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4D" w:rsidRDefault="00A6264D" w:rsidP="003E34AF">
      <w:r>
        <w:separator/>
      </w:r>
    </w:p>
  </w:footnote>
  <w:footnote w:type="continuationSeparator" w:id="0">
    <w:p w:rsidR="00A6264D" w:rsidRDefault="00A6264D" w:rsidP="003E3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169"/>
    <w:multiLevelType w:val="hybridMultilevel"/>
    <w:tmpl w:val="70C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7DC5"/>
    <w:multiLevelType w:val="hybridMultilevel"/>
    <w:tmpl w:val="7E60A3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1F5280"/>
    <w:multiLevelType w:val="hybridMultilevel"/>
    <w:tmpl w:val="677ED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C7207"/>
    <w:multiLevelType w:val="hybridMultilevel"/>
    <w:tmpl w:val="7DB85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4630F"/>
    <w:multiLevelType w:val="hybridMultilevel"/>
    <w:tmpl w:val="20D26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1C30EB"/>
    <w:multiLevelType w:val="hybridMultilevel"/>
    <w:tmpl w:val="DE96C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F4553B3"/>
    <w:multiLevelType w:val="hybridMultilevel"/>
    <w:tmpl w:val="668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74800"/>
    <w:rsid w:val="00090831"/>
    <w:rsid w:val="0009798F"/>
    <w:rsid w:val="000D78F7"/>
    <w:rsid w:val="00140F6B"/>
    <w:rsid w:val="001B4208"/>
    <w:rsid w:val="001C2AD3"/>
    <w:rsid w:val="001E64F0"/>
    <w:rsid w:val="00274384"/>
    <w:rsid w:val="002A30CE"/>
    <w:rsid w:val="00310F69"/>
    <w:rsid w:val="00323F9A"/>
    <w:rsid w:val="003308FF"/>
    <w:rsid w:val="0033257D"/>
    <w:rsid w:val="003447CE"/>
    <w:rsid w:val="00385634"/>
    <w:rsid w:val="003D0F15"/>
    <w:rsid w:val="003E34AF"/>
    <w:rsid w:val="004E6904"/>
    <w:rsid w:val="005717F4"/>
    <w:rsid w:val="005D4A15"/>
    <w:rsid w:val="005E54FC"/>
    <w:rsid w:val="006106C2"/>
    <w:rsid w:val="00637445"/>
    <w:rsid w:val="00654B54"/>
    <w:rsid w:val="006B3B11"/>
    <w:rsid w:val="006F3600"/>
    <w:rsid w:val="00715A5A"/>
    <w:rsid w:val="007177EB"/>
    <w:rsid w:val="00730725"/>
    <w:rsid w:val="00736AF6"/>
    <w:rsid w:val="00737344"/>
    <w:rsid w:val="007478EB"/>
    <w:rsid w:val="00755821"/>
    <w:rsid w:val="007619A0"/>
    <w:rsid w:val="007A1172"/>
    <w:rsid w:val="00834A85"/>
    <w:rsid w:val="008D66AA"/>
    <w:rsid w:val="008F26C8"/>
    <w:rsid w:val="00916D27"/>
    <w:rsid w:val="00936B19"/>
    <w:rsid w:val="009B0B9E"/>
    <w:rsid w:val="00A07908"/>
    <w:rsid w:val="00A6264D"/>
    <w:rsid w:val="00A70C34"/>
    <w:rsid w:val="00A954C6"/>
    <w:rsid w:val="00AA2C37"/>
    <w:rsid w:val="00B061C4"/>
    <w:rsid w:val="00B875C1"/>
    <w:rsid w:val="00BE13C3"/>
    <w:rsid w:val="00C87FC0"/>
    <w:rsid w:val="00CD0BEB"/>
    <w:rsid w:val="00CD6E39"/>
    <w:rsid w:val="00D4276B"/>
    <w:rsid w:val="00D550CF"/>
    <w:rsid w:val="00D61E55"/>
    <w:rsid w:val="00DF66FA"/>
    <w:rsid w:val="00EB088A"/>
    <w:rsid w:val="00EE4DA7"/>
    <w:rsid w:val="00F16639"/>
    <w:rsid w:val="00F73B8C"/>
    <w:rsid w:val="00FE1A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4AF"/>
    <w:pPr>
      <w:tabs>
        <w:tab w:val="center" w:pos="4680"/>
        <w:tab w:val="right" w:pos="9360"/>
      </w:tabs>
    </w:pPr>
  </w:style>
  <w:style w:type="character" w:customStyle="1" w:styleId="HeaderChar">
    <w:name w:val="Header Char"/>
    <w:link w:val="Header"/>
    <w:uiPriority w:val="99"/>
    <w:rsid w:val="003E34AF"/>
    <w:rPr>
      <w:rFonts w:ascii="Arial" w:eastAsia="Times New Roman" w:hAnsi="Arial"/>
      <w:sz w:val="22"/>
      <w:szCs w:val="22"/>
      <w:lang w:val="en-ZA"/>
    </w:rPr>
  </w:style>
  <w:style w:type="paragraph" w:styleId="Footer">
    <w:name w:val="footer"/>
    <w:basedOn w:val="Normal"/>
    <w:link w:val="FooterChar"/>
    <w:uiPriority w:val="99"/>
    <w:unhideWhenUsed/>
    <w:rsid w:val="003E34AF"/>
    <w:pPr>
      <w:tabs>
        <w:tab w:val="center" w:pos="4680"/>
        <w:tab w:val="right" w:pos="9360"/>
      </w:tabs>
    </w:pPr>
  </w:style>
  <w:style w:type="character" w:customStyle="1" w:styleId="FooterChar">
    <w:name w:val="Footer Char"/>
    <w:link w:val="Footer"/>
    <w:uiPriority w:val="99"/>
    <w:rsid w:val="003E34AF"/>
    <w:rPr>
      <w:rFonts w:ascii="Arial" w:eastAsia="Times New Roman" w:hAnsi="Arial"/>
      <w:sz w:val="22"/>
      <w:szCs w:val="22"/>
      <w:lang w:val="en-ZA"/>
    </w:rPr>
  </w:style>
  <w:style w:type="paragraph" w:styleId="BalloonText">
    <w:name w:val="Balloon Text"/>
    <w:basedOn w:val="Normal"/>
    <w:link w:val="BalloonTextChar"/>
    <w:uiPriority w:val="99"/>
    <w:semiHidden/>
    <w:unhideWhenUsed/>
    <w:rsid w:val="005D4A15"/>
    <w:rPr>
      <w:rFonts w:ascii="Tahoma" w:hAnsi="Tahoma" w:cs="Tahoma"/>
      <w:sz w:val="16"/>
      <w:szCs w:val="16"/>
    </w:rPr>
  </w:style>
  <w:style w:type="character" w:customStyle="1" w:styleId="BalloonTextChar">
    <w:name w:val="Balloon Text Char"/>
    <w:link w:val="BalloonText"/>
    <w:uiPriority w:val="99"/>
    <w:semiHidden/>
    <w:rsid w:val="005D4A1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64743304">
      <w:bodyDiv w:val="1"/>
      <w:marLeft w:val="0"/>
      <w:marRight w:val="0"/>
      <w:marTop w:val="0"/>
      <w:marBottom w:val="0"/>
      <w:divBdr>
        <w:top w:val="none" w:sz="0" w:space="0" w:color="auto"/>
        <w:left w:val="none" w:sz="0" w:space="0" w:color="auto"/>
        <w:bottom w:val="none" w:sz="0" w:space="0" w:color="auto"/>
        <w:right w:val="none" w:sz="0" w:space="0" w:color="auto"/>
      </w:divBdr>
    </w:div>
    <w:div w:id="20238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2016-11-29T10:38:00Z</cp:lastPrinted>
  <dcterms:created xsi:type="dcterms:W3CDTF">2016-12-08T11:29:00Z</dcterms:created>
  <dcterms:modified xsi:type="dcterms:W3CDTF">2016-12-08T11:29:00Z</dcterms:modified>
</cp:coreProperties>
</file>