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17" w:rsidRPr="001B1111" w:rsidRDefault="00FA4F17" w:rsidP="001B1111">
      <w:pPr>
        <w:pStyle w:val="BodyText"/>
        <w:rPr>
          <w:rFonts w:ascii="Times New Roman"/>
          <w:sz w:val="20"/>
          <w:szCs w:val="20"/>
        </w:rPr>
      </w:pPr>
    </w:p>
    <w:p w:rsidR="00FA4F17" w:rsidRPr="001B1111" w:rsidRDefault="00F04524" w:rsidP="001B1111">
      <w:pPr>
        <w:ind w:left="2371" w:right="2393"/>
        <w:rPr>
          <w:b/>
          <w:sz w:val="20"/>
          <w:szCs w:val="20"/>
        </w:rPr>
      </w:pPr>
      <w:r w:rsidRPr="001B1111">
        <w:rPr>
          <w:b/>
          <w:sz w:val="20"/>
          <w:szCs w:val="20"/>
        </w:rPr>
        <w:t>DEPARTMENT: PUBLIC ENTERPRISES REPUBLIC OF SOUTH AFRICA</w:t>
      </w:r>
    </w:p>
    <w:p w:rsidR="00FA4F17" w:rsidRPr="001B1111" w:rsidRDefault="00FA4F17" w:rsidP="001B1111">
      <w:pPr>
        <w:pStyle w:val="BodyText"/>
        <w:rPr>
          <w:b/>
          <w:sz w:val="20"/>
          <w:szCs w:val="20"/>
        </w:rPr>
      </w:pPr>
    </w:p>
    <w:p w:rsidR="00FA4F17" w:rsidRPr="001B1111" w:rsidRDefault="00F04524" w:rsidP="001B1111">
      <w:pPr>
        <w:ind w:left="2654" w:right="2672" w:firstLine="2"/>
        <w:rPr>
          <w:b/>
          <w:sz w:val="20"/>
          <w:szCs w:val="20"/>
        </w:rPr>
      </w:pPr>
      <w:r w:rsidRPr="001B1111">
        <w:rPr>
          <w:b/>
          <w:sz w:val="20"/>
          <w:szCs w:val="20"/>
        </w:rPr>
        <w:t>NATIONAL ASSEMBLY QUESTION FOR WRITTEN REPLY QUESTION NO.: 2557</w:t>
      </w:r>
    </w:p>
    <w:p w:rsidR="00FA4F17" w:rsidRPr="001B1111" w:rsidRDefault="00FA4F17" w:rsidP="001B1111">
      <w:pPr>
        <w:pStyle w:val="BodyText"/>
        <w:rPr>
          <w:b/>
          <w:sz w:val="20"/>
          <w:szCs w:val="20"/>
        </w:rPr>
      </w:pPr>
    </w:p>
    <w:p w:rsidR="00FA4F17" w:rsidRPr="001B1111" w:rsidRDefault="00FA4F17" w:rsidP="001B1111">
      <w:pPr>
        <w:pStyle w:val="BodyText"/>
        <w:rPr>
          <w:b/>
          <w:sz w:val="20"/>
          <w:szCs w:val="20"/>
        </w:rPr>
      </w:pPr>
    </w:p>
    <w:p w:rsidR="00FA4F17" w:rsidRPr="001B1111" w:rsidRDefault="00F04524" w:rsidP="001B1111">
      <w:pPr>
        <w:ind w:left="100"/>
        <w:rPr>
          <w:b/>
          <w:sz w:val="20"/>
          <w:szCs w:val="20"/>
        </w:rPr>
      </w:pPr>
      <w:r w:rsidRPr="001B1111">
        <w:rPr>
          <w:b/>
          <w:sz w:val="20"/>
          <w:szCs w:val="20"/>
        </w:rPr>
        <w:t>2557. Mr P Mey (FF Plus) to ask the Minister of Public Enterprises:</w:t>
      </w:r>
    </w:p>
    <w:p w:rsidR="00FA4F17" w:rsidRPr="001B1111" w:rsidRDefault="00FA4F17" w:rsidP="001B1111">
      <w:pPr>
        <w:pStyle w:val="BodyText"/>
        <w:rPr>
          <w:b/>
          <w:sz w:val="20"/>
          <w:szCs w:val="20"/>
        </w:rPr>
      </w:pPr>
    </w:p>
    <w:p w:rsidR="00FA4F17" w:rsidRPr="001B1111" w:rsidRDefault="00F04524" w:rsidP="001B1111">
      <w:pPr>
        <w:pStyle w:val="ListParagraph"/>
        <w:numPr>
          <w:ilvl w:val="0"/>
          <w:numId w:val="2"/>
        </w:numPr>
        <w:tabs>
          <w:tab w:val="left" w:pos="1541"/>
        </w:tabs>
        <w:ind w:right="113"/>
        <w:rPr>
          <w:sz w:val="20"/>
          <w:szCs w:val="20"/>
        </w:rPr>
      </w:pPr>
      <w:r w:rsidRPr="001B1111">
        <w:rPr>
          <w:sz w:val="20"/>
          <w:szCs w:val="20"/>
        </w:rPr>
        <w:t>Whether, with reference to the settlement of the class action on 11 December 2019 between Transnet and the Transnet pensioners who are members of two pension funds, namely the Transnet Second Defined Benefit Fund and the Transport Pension Fund, which, in s</w:t>
      </w:r>
      <w:r w:rsidRPr="001B1111">
        <w:rPr>
          <w:sz w:val="20"/>
          <w:szCs w:val="20"/>
        </w:rPr>
        <w:t>pite of the implementation of the specified settlement in 2020, still has not been implemented for members of  the Passenger Rail Agency of South Africa (Prasa) Sub Fund, notwithstanding a court order (details furnished) to the effect, and which matter has</w:t>
      </w:r>
      <w:r w:rsidRPr="001B1111">
        <w:rPr>
          <w:sz w:val="20"/>
          <w:szCs w:val="20"/>
        </w:rPr>
        <w:t xml:space="preserve"> apparently been escalated to his department by the Department of Transport for urgent intervention, as the proposed rule amendments to the Prasa Special Rules to enable the implementation of the mentioned court order were already circulated to the Office </w:t>
      </w:r>
      <w:r w:rsidRPr="001B1111">
        <w:rPr>
          <w:sz w:val="20"/>
          <w:szCs w:val="20"/>
        </w:rPr>
        <w:t xml:space="preserve">of the Transnet Chief Financial Officer on 12 April 2021, as per the reply of the Minister of Transport on 19 November 2021, he will provide the full, relevant details on the (a) reason(s) for the delay and (b) date by which it is envisaged that the delay </w:t>
      </w:r>
      <w:r w:rsidRPr="001B1111">
        <w:rPr>
          <w:sz w:val="20"/>
          <w:szCs w:val="20"/>
        </w:rPr>
        <w:t>will be addressed, with an indication of the necessary deadlines in order to prevent legal action from being taken against his department for disregarding the specified court order; if so, what are the relevant details in each specified case; if</w:t>
      </w:r>
      <w:r w:rsidRPr="001B1111">
        <w:rPr>
          <w:spacing w:val="-6"/>
          <w:sz w:val="20"/>
          <w:szCs w:val="20"/>
        </w:rPr>
        <w:t xml:space="preserve"> </w:t>
      </w:r>
      <w:r w:rsidRPr="001B1111">
        <w:rPr>
          <w:sz w:val="20"/>
          <w:szCs w:val="20"/>
        </w:rPr>
        <w:t>not,</w:t>
      </w:r>
    </w:p>
    <w:p w:rsidR="00FA4F17" w:rsidRPr="001B1111" w:rsidRDefault="00FA4F17" w:rsidP="001B1111">
      <w:pPr>
        <w:pStyle w:val="BodyText"/>
        <w:rPr>
          <w:sz w:val="20"/>
          <w:szCs w:val="20"/>
        </w:rPr>
      </w:pPr>
    </w:p>
    <w:p w:rsidR="00FA4F17" w:rsidRPr="001B1111" w:rsidRDefault="00F04524" w:rsidP="001B1111">
      <w:pPr>
        <w:pStyle w:val="ListParagraph"/>
        <w:numPr>
          <w:ilvl w:val="0"/>
          <w:numId w:val="2"/>
        </w:numPr>
        <w:tabs>
          <w:tab w:val="left" w:pos="1541"/>
        </w:tabs>
        <w:ind w:right="120"/>
        <w:rPr>
          <w:sz w:val="20"/>
          <w:szCs w:val="20"/>
        </w:rPr>
      </w:pPr>
      <w:r w:rsidRPr="001B1111">
        <w:rPr>
          <w:sz w:val="20"/>
          <w:szCs w:val="20"/>
        </w:rPr>
        <w:t>whet</w:t>
      </w:r>
      <w:r w:rsidRPr="001B1111">
        <w:rPr>
          <w:sz w:val="20"/>
          <w:szCs w:val="20"/>
        </w:rPr>
        <w:t xml:space="preserve">her he will soon take steps to determine (a) what the reasons for the delays are and (b) how to address the delays, with an indication of the necessary deadlines in order to prevent legal action from being taken against his department for disregarding the </w:t>
      </w:r>
      <w:r w:rsidRPr="001B1111">
        <w:rPr>
          <w:sz w:val="20"/>
          <w:szCs w:val="20"/>
        </w:rPr>
        <w:t>specified court order; if not, why not, in each case; if so, what are the relevant details in each</w:t>
      </w:r>
      <w:r w:rsidRPr="001B1111">
        <w:rPr>
          <w:spacing w:val="-5"/>
          <w:sz w:val="20"/>
          <w:szCs w:val="20"/>
        </w:rPr>
        <w:t xml:space="preserve"> </w:t>
      </w:r>
      <w:r w:rsidRPr="001B1111">
        <w:rPr>
          <w:sz w:val="20"/>
          <w:szCs w:val="20"/>
        </w:rPr>
        <w:t>case;</w:t>
      </w:r>
    </w:p>
    <w:p w:rsidR="00FA4F17" w:rsidRPr="001B1111" w:rsidRDefault="00FA4F17" w:rsidP="001B1111">
      <w:pPr>
        <w:pStyle w:val="BodyText"/>
        <w:rPr>
          <w:sz w:val="20"/>
          <w:szCs w:val="20"/>
        </w:rPr>
      </w:pPr>
    </w:p>
    <w:p w:rsidR="00FA4F17" w:rsidRPr="001B1111" w:rsidRDefault="00F04524" w:rsidP="001B1111">
      <w:pPr>
        <w:pStyle w:val="ListParagraph"/>
        <w:numPr>
          <w:ilvl w:val="0"/>
          <w:numId w:val="2"/>
        </w:numPr>
        <w:tabs>
          <w:tab w:val="left" w:pos="1540"/>
          <w:tab w:val="left" w:pos="1541"/>
        </w:tabs>
        <w:ind w:hanging="721"/>
        <w:rPr>
          <w:sz w:val="20"/>
          <w:szCs w:val="20"/>
        </w:rPr>
      </w:pPr>
      <w:r w:rsidRPr="001B1111">
        <w:rPr>
          <w:sz w:val="20"/>
          <w:szCs w:val="20"/>
        </w:rPr>
        <w:t>whether he will make a statement on the</w:t>
      </w:r>
      <w:r w:rsidRPr="001B1111">
        <w:rPr>
          <w:spacing w:val="-11"/>
          <w:sz w:val="20"/>
          <w:szCs w:val="20"/>
        </w:rPr>
        <w:t xml:space="preserve"> </w:t>
      </w:r>
      <w:r w:rsidRPr="001B1111">
        <w:rPr>
          <w:sz w:val="20"/>
          <w:szCs w:val="20"/>
        </w:rPr>
        <w:t>matter?</w:t>
      </w:r>
    </w:p>
    <w:p w:rsidR="00FA4F17" w:rsidRPr="001B1111" w:rsidRDefault="00F04524" w:rsidP="001B1111">
      <w:pPr>
        <w:ind w:left="100"/>
        <w:rPr>
          <w:b/>
          <w:sz w:val="20"/>
          <w:szCs w:val="20"/>
        </w:rPr>
      </w:pPr>
      <w:r w:rsidRPr="001B1111">
        <w:rPr>
          <w:b/>
          <w:sz w:val="20"/>
          <w:szCs w:val="20"/>
          <w:u w:val="thick"/>
        </w:rPr>
        <w:t>REPLY:</w:t>
      </w:r>
    </w:p>
    <w:p w:rsidR="00FA4F17" w:rsidRPr="001B1111" w:rsidRDefault="00FA4F17" w:rsidP="001B1111">
      <w:pPr>
        <w:pStyle w:val="BodyText"/>
        <w:rPr>
          <w:b/>
          <w:sz w:val="20"/>
          <w:szCs w:val="20"/>
        </w:rPr>
      </w:pPr>
    </w:p>
    <w:p w:rsidR="00FA4F17" w:rsidRPr="001B1111" w:rsidRDefault="00F04524" w:rsidP="001B1111">
      <w:pPr>
        <w:ind w:left="100"/>
        <w:rPr>
          <w:sz w:val="20"/>
          <w:szCs w:val="20"/>
        </w:rPr>
      </w:pPr>
      <w:r w:rsidRPr="001B1111">
        <w:rPr>
          <w:sz w:val="20"/>
          <w:szCs w:val="20"/>
        </w:rPr>
        <w:t>(1)</w:t>
      </w:r>
    </w:p>
    <w:p w:rsidR="00FA4F17" w:rsidRPr="001B1111" w:rsidRDefault="00FA4F17" w:rsidP="001B1111">
      <w:pPr>
        <w:pStyle w:val="BodyText"/>
        <w:rPr>
          <w:sz w:val="20"/>
          <w:szCs w:val="20"/>
        </w:rPr>
      </w:pPr>
    </w:p>
    <w:p w:rsidR="00FA4F17" w:rsidRPr="001B1111" w:rsidRDefault="00F04524" w:rsidP="001B1111">
      <w:pPr>
        <w:pStyle w:val="ListParagraph"/>
        <w:numPr>
          <w:ilvl w:val="0"/>
          <w:numId w:val="1"/>
        </w:numPr>
        <w:tabs>
          <w:tab w:val="left" w:pos="499"/>
        </w:tabs>
        <w:ind w:right="342" w:firstLine="0"/>
        <w:rPr>
          <w:sz w:val="20"/>
          <w:szCs w:val="20"/>
        </w:rPr>
      </w:pPr>
      <w:r w:rsidRPr="001B1111">
        <w:rPr>
          <w:sz w:val="20"/>
          <w:szCs w:val="20"/>
        </w:rPr>
        <w:t>The Ministry of Public Enterprises and the Ministry of Finance are currently assessing the submission. Once all the government processes have been adhered to and finalized, the Departments of Public Enterprises will revert to parliament to  pr</w:t>
      </w:r>
      <w:r w:rsidRPr="001B1111">
        <w:rPr>
          <w:sz w:val="20"/>
          <w:szCs w:val="20"/>
        </w:rPr>
        <w:t>ovide a final response</w:t>
      </w:r>
      <w:r w:rsidRPr="001B1111">
        <w:rPr>
          <w:spacing w:val="-5"/>
          <w:sz w:val="20"/>
          <w:szCs w:val="20"/>
        </w:rPr>
        <w:t xml:space="preserve"> </w:t>
      </w:r>
      <w:r w:rsidRPr="001B1111">
        <w:rPr>
          <w:sz w:val="20"/>
          <w:szCs w:val="20"/>
        </w:rPr>
        <w:t>accordingly.</w:t>
      </w:r>
    </w:p>
    <w:p w:rsidR="00FA4F17" w:rsidRPr="001B1111" w:rsidRDefault="00FA4F17" w:rsidP="001B1111">
      <w:pPr>
        <w:pStyle w:val="BodyText"/>
        <w:rPr>
          <w:sz w:val="20"/>
          <w:szCs w:val="20"/>
        </w:rPr>
      </w:pPr>
    </w:p>
    <w:p w:rsidR="00FA4F17" w:rsidRPr="001B1111" w:rsidRDefault="00F04524" w:rsidP="001B1111">
      <w:pPr>
        <w:pStyle w:val="ListParagraph"/>
        <w:numPr>
          <w:ilvl w:val="0"/>
          <w:numId w:val="1"/>
        </w:numPr>
        <w:tabs>
          <w:tab w:val="left" w:pos="434"/>
        </w:tabs>
        <w:ind w:left="433" w:hanging="334"/>
        <w:rPr>
          <w:sz w:val="20"/>
          <w:szCs w:val="20"/>
        </w:rPr>
      </w:pPr>
      <w:r w:rsidRPr="001B1111">
        <w:rPr>
          <w:sz w:val="20"/>
          <w:szCs w:val="20"/>
        </w:rPr>
        <w:t>Refer to</w:t>
      </w:r>
      <w:r w:rsidRPr="001B1111">
        <w:rPr>
          <w:spacing w:val="-4"/>
          <w:sz w:val="20"/>
          <w:szCs w:val="20"/>
        </w:rPr>
        <w:t xml:space="preserve"> </w:t>
      </w:r>
      <w:r w:rsidRPr="001B1111">
        <w:rPr>
          <w:sz w:val="20"/>
          <w:szCs w:val="20"/>
        </w:rPr>
        <w:t>(a).</w:t>
      </w:r>
    </w:p>
    <w:p w:rsidR="00FA4F17" w:rsidRPr="001B1111" w:rsidRDefault="00FA4F17" w:rsidP="001B1111">
      <w:pPr>
        <w:pStyle w:val="BodyText"/>
        <w:rPr>
          <w:sz w:val="20"/>
          <w:szCs w:val="20"/>
        </w:rPr>
      </w:pPr>
    </w:p>
    <w:p w:rsidR="00FA4F17" w:rsidRPr="001B1111" w:rsidRDefault="00F04524" w:rsidP="001B1111">
      <w:pPr>
        <w:pStyle w:val="ListParagraph"/>
        <w:numPr>
          <w:ilvl w:val="0"/>
          <w:numId w:val="1"/>
        </w:numPr>
        <w:tabs>
          <w:tab w:val="left" w:pos="420"/>
        </w:tabs>
        <w:ind w:right="7326" w:firstLine="0"/>
        <w:rPr>
          <w:sz w:val="20"/>
          <w:szCs w:val="20"/>
        </w:rPr>
      </w:pPr>
      <w:r w:rsidRPr="001B1111">
        <w:rPr>
          <w:sz w:val="20"/>
          <w:szCs w:val="20"/>
        </w:rPr>
        <w:t xml:space="preserve">Refer to </w:t>
      </w:r>
      <w:r w:rsidRPr="001B1111">
        <w:rPr>
          <w:spacing w:val="-4"/>
          <w:sz w:val="20"/>
          <w:szCs w:val="20"/>
        </w:rPr>
        <w:t xml:space="preserve">(a) </w:t>
      </w:r>
      <w:r w:rsidRPr="001B1111">
        <w:rPr>
          <w:sz w:val="20"/>
          <w:szCs w:val="20"/>
        </w:rPr>
        <w:t>(2)</w:t>
      </w:r>
    </w:p>
    <w:p w:rsidR="00FA4F17" w:rsidRPr="001B1111" w:rsidRDefault="00F04524" w:rsidP="001B1111">
      <w:pPr>
        <w:ind w:left="100"/>
        <w:rPr>
          <w:sz w:val="20"/>
          <w:szCs w:val="20"/>
        </w:rPr>
      </w:pPr>
      <w:r w:rsidRPr="001B1111">
        <w:rPr>
          <w:sz w:val="20"/>
          <w:szCs w:val="20"/>
        </w:rPr>
        <w:t>(a) Refer to 1 (a)</w:t>
      </w:r>
    </w:p>
    <w:p w:rsidR="00FA4F17" w:rsidRPr="001B1111" w:rsidRDefault="00FA4F17" w:rsidP="001B1111">
      <w:pPr>
        <w:pStyle w:val="BodyText"/>
        <w:rPr>
          <w:sz w:val="20"/>
          <w:szCs w:val="20"/>
        </w:rPr>
      </w:pPr>
    </w:p>
    <w:p w:rsidR="00FA4F17" w:rsidRPr="001B1111" w:rsidRDefault="00F04524" w:rsidP="001B1111">
      <w:pPr>
        <w:ind w:left="100"/>
        <w:rPr>
          <w:sz w:val="20"/>
          <w:szCs w:val="20"/>
        </w:rPr>
      </w:pPr>
      <w:r w:rsidRPr="001B1111">
        <w:rPr>
          <w:sz w:val="20"/>
          <w:szCs w:val="20"/>
        </w:rPr>
        <w:t>(3) The Minister of Public Enterprises will not be making any statement on the matter.</w:t>
      </w:r>
    </w:p>
    <w:p w:rsidR="00FA4F17" w:rsidRPr="001B1111" w:rsidRDefault="00FA4F17" w:rsidP="001B1111">
      <w:pPr>
        <w:pStyle w:val="BodyText"/>
        <w:rPr>
          <w:sz w:val="20"/>
          <w:szCs w:val="20"/>
        </w:rPr>
      </w:pPr>
    </w:p>
    <w:p w:rsidR="00FA4F17" w:rsidRPr="001B1111" w:rsidRDefault="00FA4F17" w:rsidP="001B1111">
      <w:pPr>
        <w:pStyle w:val="BodyText"/>
        <w:rPr>
          <w:sz w:val="20"/>
          <w:szCs w:val="20"/>
        </w:rPr>
      </w:pPr>
    </w:p>
    <w:p w:rsidR="00FA4F17" w:rsidRPr="001B1111" w:rsidRDefault="00F04524" w:rsidP="001B1111">
      <w:pPr>
        <w:tabs>
          <w:tab w:val="left" w:pos="3700"/>
        </w:tabs>
        <w:ind w:left="100"/>
        <w:rPr>
          <w:b/>
          <w:sz w:val="20"/>
          <w:szCs w:val="20"/>
        </w:rPr>
      </w:pPr>
      <w:r w:rsidRPr="001B1111">
        <w:rPr>
          <w:b/>
          <w:sz w:val="20"/>
          <w:szCs w:val="20"/>
        </w:rPr>
        <w:t>Remarks:</w:t>
      </w:r>
      <w:r w:rsidRPr="001B1111">
        <w:rPr>
          <w:b/>
          <w:sz w:val="20"/>
          <w:szCs w:val="20"/>
        </w:rPr>
        <w:tab/>
        <w:t>Reply: Approved / Not</w:t>
      </w:r>
      <w:r w:rsidRPr="001B1111">
        <w:rPr>
          <w:b/>
          <w:spacing w:val="3"/>
          <w:sz w:val="20"/>
          <w:szCs w:val="20"/>
        </w:rPr>
        <w:t xml:space="preserve"> </w:t>
      </w:r>
      <w:r w:rsidRPr="001B1111">
        <w:rPr>
          <w:b/>
          <w:sz w:val="20"/>
          <w:szCs w:val="20"/>
        </w:rPr>
        <w:t>Approved</w:t>
      </w:r>
    </w:p>
    <w:p w:rsidR="00FA4F17" w:rsidRPr="001B1111" w:rsidRDefault="00FA4F17" w:rsidP="001B1111">
      <w:pPr>
        <w:pStyle w:val="BodyText"/>
        <w:rPr>
          <w:b/>
          <w:sz w:val="20"/>
          <w:szCs w:val="20"/>
        </w:rPr>
      </w:pPr>
    </w:p>
    <w:p w:rsidR="00FA4F17" w:rsidRPr="001B1111" w:rsidRDefault="00F04524" w:rsidP="001B1111">
      <w:pPr>
        <w:tabs>
          <w:tab w:val="left" w:pos="3763"/>
        </w:tabs>
        <w:ind w:left="100"/>
        <w:rPr>
          <w:b/>
          <w:sz w:val="20"/>
          <w:szCs w:val="20"/>
        </w:rPr>
      </w:pPr>
      <w:r w:rsidRPr="001B1111">
        <w:rPr>
          <w:b/>
          <w:sz w:val="20"/>
          <w:szCs w:val="20"/>
        </w:rPr>
        <w:t>Jacky</w:t>
      </w:r>
      <w:r w:rsidRPr="001B1111">
        <w:rPr>
          <w:b/>
          <w:spacing w:val="-3"/>
          <w:sz w:val="20"/>
          <w:szCs w:val="20"/>
        </w:rPr>
        <w:t xml:space="preserve"> </w:t>
      </w:r>
      <w:r w:rsidRPr="001B1111">
        <w:rPr>
          <w:b/>
          <w:sz w:val="20"/>
          <w:szCs w:val="20"/>
        </w:rPr>
        <w:t>Molisane</w:t>
      </w:r>
      <w:r w:rsidRPr="001B1111">
        <w:rPr>
          <w:b/>
          <w:sz w:val="20"/>
          <w:szCs w:val="20"/>
        </w:rPr>
        <w:tab/>
        <w:t>P J Gordhan,</w:t>
      </w:r>
      <w:r w:rsidRPr="001B1111">
        <w:rPr>
          <w:b/>
          <w:spacing w:val="-3"/>
          <w:sz w:val="20"/>
          <w:szCs w:val="20"/>
        </w:rPr>
        <w:t xml:space="preserve"> </w:t>
      </w:r>
      <w:r w:rsidRPr="001B1111">
        <w:rPr>
          <w:b/>
          <w:sz w:val="20"/>
          <w:szCs w:val="20"/>
        </w:rPr>
        <w:t>MP</w:t>
      </w:r>
    </w:p>
    <w:p w:rsidR="00FA4F17" w:rsidRPr="001B1111" w:rsidRDefault="00F04524" w:rsidP="001B1111">
      <w:pPr>
        <w:tabs>
          <w:tab w:val="left" w:pos="3763"/>
        </w:tabs>
        <w:ind w:left="100" w:right="1987"/>
        <w:rPr>
          <w:b/>
          <w:sz w:val="20"/>
          <w:szCs w:val="20"/>
        </w:rPr>
      </w:pPr>
      <w:r w:rsidRPr="001B1111">
        <w:rPr>
          <w:b/>
          <w:sz w:val="20"/>
          <w:szCs w:val="20"/>
        </w:rPr>
        <w:t>Acting</w:t>
      </w:r>
      <w:r w:rsidRPr="001B1111">
        <w:rPr>
          <w:b/>
          <w:spacing w:val="-3"/>
          <w:sz w:val="20"/>
          <w:szCs w:val="20"/>
        </w:rPr>
        <w:t xml:space="preserve"> </w:t>
      </w:r>
      <w:r w:rsidRPr="001B1111">
        <w:rPr>
          <w:b/>
          <w:sz w:val="20"/>
          <w:szCs w:val="20"/>
        </w:rPr>
        <w:t>Director-General</w:t>
      </w:r>
      <w:r w:rsidRPr="001B1111">
        <w:rPr>
          <w:b/>
          <w:sz w:val="20"/>
          <w:szCs w:val="20"/>
        </w:rPr>
        <w:tab/>
        <w:t>Minister of Public Enterprises Date:</w:t>
      </w:r>
      <w:r w:rsidRPr="001B1111">
        <w:rPr>
          <w:b/>
          <w:spacing w:val="1"/>
          <w:sz w:val="20"/>
          <w:szCs w:val="20"/>
        </w:rPr>
        <w:t xml:space="preserve"> </w:t>
      </w:r>
      <w:r w:rsidRPr="001B1111">
        <w:rPr>
          <w:b/>
          <w:sz w:val="20"/>
          <w:szCs w:val="20"/>
        </w:rPr>
        <w:t>11/01/2022</w:t>
      </w:r>
      <w:r w:rsidRPr="001B1111">
        <w:rPr>
          <w:b/>
          <w:sz w:val="20"/>
          <w:szCs w:val="20"/>
        </w:rPr>
        <w:tab/>
        <w:t>Date:</w:t>
      </w:r>
    </w:p>
    <w:sectPr w:rsidR="00FA4F17" w:rsidRPr="001B1111" w:rsidSect="00FA4F17">
      <w:footerReference w:type="default" r:id="rId7"/>
      <w:pgSz w:w="12240" w:h="15840"/>
      <w:pgMar w:top="920" w:right="1680" w:bottom="1260" w:left="1700" w:header="0" w:footer="10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24" w:rsidRDefault="00F04524" w:rsidP="00FA4F17">
      <w:r>
        <w:separator/>
      </w:r>
    </w:p>
  </w:endnote>
  <w:endnote w:type="continuationSeparator" w:id="0">
    <w:p w:rsidR="00F04524" w:rsidRDefault="00F04524" w:rsidP="00FA4F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17" w:rsidRDefault="00FA4F17">
    <w:pPr>
      <w:pStyle w:val="BodyText"/>
      <w:spacing w:line="14" w:lineRule="auto"/>
      <w:rPr>
        <w:sz w:val="20"/>
      </w:rPr>
    </w:pPr>
    <w:r w:rsidRPr="00FA4F17">
      <w:pict>
        <v:shapetype id="_x0000_t202" coordsize="21600,21600" o:spt="202" path="m,l,21600r21600,l21600,xe">
          <v:stroke joinstyle="miter"/>
          <v:path gradientshapeok="t" o:connecttype="rect"/>
        </v:shapetype>
        <v:shape id="_x0000_s1025" type="#_x0000_t202" style="position:absolute;margin-left:513.1pt;margin-top:727.6pt;width:12pt;height:15.3pt;z-index:-251658752;mso-position-horizontal-relative:page;mso-position-vertical-relative:page" filled="f" stroked="f">
          <v:textbox inset="0,0,0,0">
            <w:txbxContent>
              <w:p w:rsidR="00FA4F17" w:rsidRDefault="00FA4F17">
                <w:pPr>
                  <w:pStyle w:val="BodyText"/>
                  <w:spacing w:before="10"/>
                  <w:ind w:left="60"/>
                  <w:rPr>
                    <w:rFonts w:ascii="Times New Roman"/>
                  </w:rPr>
                </w:pPr>
                <w:r>
                  <w:fldChar w:fldCharType="begin"/>
                </w:r>
                <w:r w:rsidR="00F04524">
                  <w:rPr>
                    <w:rFonts w:ascii="Times New Roman"/>
                  </w:rPr>
                  <w:instrText xml:space="preserve"> PAGE </w:instrText>
                </w:r>
                <w:r>
                  <w:fldChar w:fldCharType="separate"/>
                </w:r>
                <w:r w:rsidR="001B1111">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24" w:rsidRDefault="00F04524" w:rsidP="00FA4F17">
      <w:r>
        <w:separator/>
      </w:r>
    </w:p>
  </w:footnote>
  <w:footnote w:type="continuationSeparator" w:id="0">
    <w:p w:rsidR="00F04524" w:rsidRDefault="00F04524" w:rsidP="00FA4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1297"/>
    <w:multiLevelType w:val="hybridMultilevel"/>
    <w:tmpl w:val="7666C98A"/>
    <w:lvl w:ilvl="0" w:tplc="312858D8">
      <w:start w:val="1"/>
      <w:numFmt w:val="decimal"/>
      <w:lvlText w:val="(%1)"/>
      <w:lvlJc w:val="left"/>
      <w:pPr>
        <w:ind w:left="1540" w:hanging="720"/>
        <w:jc w:val="left"/>
      </w:pPr>
      <w:rPr>
        <w:rFonts w:ascii="Arial" w:eastAsia="Arial" w:hAnsi="Arial" w:cs="Arial" w:hint="default"/>
        <w:w w:val="99"/>
        <w:sz w:val="20"/>
        <w:szCs w:val="20"/>
        <w:lang w:val="en-US" w:eastAsia="en-US" w:bidi="en-US"/>
      </w:rPr>
    </w:lvl>
    <w:lvl w:ilvl="1" w:tplc="335811BA">
      <w:numFmt w:val="bullet"/>
      <w:lvlText w:val="•"/>
      <w:lvlJc w:val="left"/>
      <w:pPr>
        <w:ind w:left="2272" w:hanging="720"/>
      </w:pPr>
      <w:rPr>
        <w:rFonts w:hint="default"/>
        <w:lang w:val="en-US" w:eastAsia="en-US" w:bidi="en-US"/>
      </w:rPr>
    </w:lvl>
    <w:lvl w:ilvl="2" w:tplc="68F89228">
      <w:numFmt w:val="bullet"/>
      <w:lvlText w:val="•"/>
      <w:lvlJc w:val="left"/>
      <w:pPr>
        <w:ind w:left="3004" w:hanging="720"/>
      </w:pPr>
      <w:rPr>
        <w:rFonts w:hint="default"/>
        <w:lang w:val="en-US" w:eastAsia="en-US" w:bidi="en-US"/>
      </w:rPr>
    </w:lvl>
    <w:lvl w:ilvl="3" w:tplc="8D46330E">
      <w:numFmt w:val="bullet"/>
      <w:lvlText w:val="•"/>
      <w:lvlJc w:val="left"/>
      <w:pPr>
        <w:ind w:left="3736" w:hanging="720"/>
      </w:pPr>
      <w:rPr>
        <w:rFonts w:hint="default"/>
        <w:lang w:val="en-US" w:eastAsia="en-US" w:bidi="en-US"/>
      </w:rPr>
    </w:lvl>
    <w:lvl w:ilvl="4" w:tplc="FF088960">
      <w:numFmt w:val="bullet"/>
      <w:lvlText w:val="•"/>
      <w:lvlJc w:val="left"/>
      <w:pPr>
        <w:ind w:left="4468" w:hanging="720"/>
      </w:pPr>
      <w:rPr>
        <w:rFonts w:hint="default"/>
        <w:lang w:val="en-US" w:eastAsia="en-US" w:bidi="en-US"/>
      </w:rPr>
    </w:lvl>
    <w:lvl w:ilvl="5" w:tplc="CA7463CE">
      <w:numFmt w:val="bullet"/>
      <w:lvlText w:val="•"/>
      <w:lvlJc w:val="left"/>
      <w:pPr>
        <w:ind w:left="5200" w:hanging="720"/>
      </w:pPr>
      <w:rPr>
        <w:rFonts w:hint="default"/>
        <w:lang w:val="en-US" w:eastAsia="en-US" w:bidi="en-US"/>
      </w:rPr>
    </w:lvl>
    <w:lvl w:ilvl="6" w:tplc="359CF694">
      <w:numFmt w:val="bullet"/>
      <w:lvlText w:val="•"/>
      <w:lvlJc w:val="left"/>
      <w:pPr>
        <w:ind w:left="5932" w:hanging="720"/>
      </w:pPr>
      <w:rPr>
        <w:rFonts w:hint="default"/>
        <w:lang w:val="en-US" w:eastAsia="en-US" w:bidi="en-US"/>
      </w:rPr>
    </w:lvl>
    <w:lvl w:ilvl="7" w:tplc="584A7EDC">
      <w:numFmt w:val="bullet"/>
      <w:lvlText w:val="•"/>
      <w:lvlJc w:val="left"/>
      <w:pPr>
        <w:ind w:left="6664" w:hanging="720"/>
      </w:pPr>
      <w:rPr>
        <w:rFonts w:hint="default"/>
        <w:lang w:val="en-US" w:eastAsia="en-US" w:bidi="en-US"/>
      </w:rPr>
    </w:lvl>
    <w:lvl w:ilvl="8" w:tplc="53B6F2C4">
      <w:numFmt w:val="bullet"/>
      <w:lvlText w:val="•"/>
      <w:lvlJc w:val="left"/>
      <w:pPr>
        <w:ind w:left="7396" w:hanging="720"/>
      </w:pPr>
      <w:rPr>
        <w:rFonts w:hint="default"/>
        <w:lang w:val="en-US" w:eastAsia="en-US" w:bidi="en-US"/>
      </w:rPr>
    </w:lvl>
  </w:abstractNum>
  <w:abstractNum w:abstractNumId="1">
    <w:nsid w:val="68251FA7"/>
    <w:multiLevelType w:val="hybridMultilevel"/>
    <w:tmpl w:val="EDD6CBB2"/>
    <w:lvl w:ilvl="0" w:tplc="2208D93C">
      <w:start w:val="1"/>
      <w:numFmt w:val="lowerLetter"/>
      <w:lvlText w:val="(%1)"/>
      <w:lvlJc w:val="left"/>
      <w:pPr>
        <w:ind w:left="100" w:hanging="398"/>
        <w:jc w:val="left"/>
      </w:pPr>
      <w:rPr>
        <w:rFonts w:ascii="Arial" w:eastAsia="Arial" w:hAnsi="Arial" w:cs="Arial" w:hint="default"/>
        <w:w w:val="100"/>
        <w:sz w:val="22"/>
        <w:szCs w:val="22"/>
        <w:lang w:val="en-US" w:eastAsia="en-US" w:bidi="en-US"/>
      </w:rPr>
    </w:lvl>
    <w:lvl w:ilvl="1" w:tplc="669E4B7A">
      <w:numFmt w:val="bullet"/>
      <w:lvlText w:val="•"/>
      <w:lvlJc w:val="left"/>
      <w:pPr>
        <w:ind w:left="976" w:hanging="398"/>
      </w:pPr>
      <w:rPr>
        <w:rFonts w:hint="default"/>
        <w:lang w:val="en-US" w:eastAsia="en-US" w:bidi="en-US"/>
      </w:rPr>
    </w:lvl>
    <w:lvl w:ilvl="2" w:tplc="FABA69C0">
      <w:numFmt w:val="bullet"/>
      <w:lvlText w:val="•"/>
      <w:lvlJc w:val="left"/>
      <w:pPr>
        <w:ind w:left="1852" w:hanging="398"/>
      </w:pPr>
      <w:rPr>
        <w:rFonts w:hint="default"/>
        <w:lang w:val="en-US" w:eastAsia="en-US" w:bidi="en-US"/>
      </w:rPr>
    </w:lvl>
    <w:lvl w:ilvl="3" w:tplc="7B18DE8E">
      <w:numFmt w:val="bullet"/>
      <w:lvlText w:val="•"/>
      <w:lvlJc w:val="left"/>
      <w:pPr>
        <w:ind w:left="2728" w:hanging="398"/>
      </w:pPr>
      <w:rPr>
        <w:rFonts w:hint="default"/>
        <w:lang w:val="en-US" w:eastAsia="en-US" w:bidi="en-US"/>
      </w:rPr>
    </w:lvl>
    <w:lvl w:ilvl="4" w:tplc="940E815A">
      <w:numFmt w:val="bullet"/>
      <w:lvlText w:val="•"/>
      <w:lvlJc w:val="left"/>
      <w:pPr>
        <w:ind w:left="3604" w:hanging="398"/>
      </w:pPr>
      <w:rPr>
        <w:rFonts w:hint="default"/>
        <w:lang w:val="en-US" w:eastAsia="en-US" w:bidi="en-US"/>
      </w:rPr>
    </w:lvl>
    <w:lvl w:ilvl="5" w:tplc="D466D470">
      <w:numFmt w:val="bullet"/>
      <w:lvlText w:val="•"/>
      <w:lvlJc w:val="left"/>
      <w:pPr>
        <w:ind w:left="4480" w:hanging="398"/>
      </w:pPr>
      <w:rPr>
        <w:rFonts w:hint="default"/>
        <w:lang w:val="en-US" w:eastAsia="en-US" w:bidi="en-US"/>
      </w:rPr>
    </w:lvl>
    <w:lvl w:ilvl="6" w:tplc="84C64400">
      <w:numFmt w:val="bullet"/>
      <w:lvlText w:val="•"/>
      <w:lvlJc w:val="left"/>
      <w:pPr>
        <w:ind w:left="5356" w:hanging="398"/>
      </w:pPr>
      <w:rPr>
        <w:rFonts w:hint="default"/>
        <w:lang w:val="en-US" w:eastAsia="en-US" w:bidi="en-US"/>
      </w:rPr>
    </w:lvl>
    <w:lvl w:ilvl="7" w:tplc="1C46E90C">
      <w:numFmt w:val="bullet"/>
      <w:lvlText w:val="•"/>
      <w:lvlJc w:val="left"/>
      <w:pPr>
        <w:ind w:left="6232" w:hanging="398"/>
      </w:pPr>
      <w:rPr>
        <w:rFonts w:hint="default"/>
        <w:lang w:val="en-US" w:eastAsia="en-US" w:bidi="en-US"/>
      </w:rPr>
    </w:lvl>
    <w:lvl w:ilvl="8" w:tplc="154EA48C">
      <w:numFmt w:val="bullet"/>
      <w:lvlText w:val="•"/>
      <w:lvlJc w:val="left"/>
      <w:pPr>
        <w:ind w:left="7108" w:hanging="398"/>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FA4F17"/>
    <w:rsid w:val="001B1111"/>
    <w:rsid w:val="00F04524"/>
    <w:rsid w:val="00FA4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F17"/>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A4F17"/>
    <w:rPr>
      <w:sz w:val="24"/>
      <w:szCs w:val="24"/>
    </w:rPr>
  </w:style>
  <w:style w:type="paragraph" w:styleId="ListParagraph">
    <w:name w:val="List Paragraph"/>
    <w:basedOn w:val="Normal"/>
    <w:uiPriority w:val="1"/>
    <w:qFormat/>
    <w:rsid w:val="00FA4F17"/>
    <w:pPr>
      <w:ind w:left="1540" w:hanging="720"/>
      <w:jc w:val="both"/>
    </w:pPr>
  </w:style>
  <w:style w:type="paragraph" w:customStyle="1" w:styleId="TableParagraph">
    <w:name w:val="Table Paragraph"/>
    <w:basedOn w:val="Normal"/>
    <w:uiPriority w:val="1"/>
    <w:qFormat/>
    <w:rsid w:val="00FA4F17"/>
  </w:style>
  <w:style w:type="paragraph" w:styleId="BalloonText">
    <w:name w:val="Balloon Text"/>
    <w:basedOn w:val="Normal"/>
    <w:link w:val="BalloonTextChar"/>
    <w:uiPriority w:val="99"/>
    <w:semiHidden/>
    <w:unhideWhenUsed/>
    <w:rsid w:val="001B1111"/>
    <w:rPr>
      <w:rFonts w:ascii="Tahoma" w:hAnsi="Tahoma" w:cs="Tahoma"/>
      <w:sz w:val="16"/>
      <w:szCs w:val="16"/>
    </w:rPr>
  </w:style>
  <w:style w:type="character" w:customStyle="1" w:styleId="BalloonTextChar">
    <w:name w:val="Balloon Text Char"/>
    <w:basedOn w:val="DefaultParagraphFont"/>
    <w:link w:val="BalloonText"/>
    <w:uiPriority w:val="99"/>
    <w:semiHidden/>
    <w:rsid w:val="001B1111"/>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dcterms:created xsi:type="dcterms:W3CDTF">2022-01-25T15:32:00Z</dcterms:created>
  <dcterms:modified xsi:type="dcterms:W3CDTF">2022-01-25T19:16:00Z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2022-01-25T00:00:00Z</vt:filetime>
  </property>
</Properties>
</file>