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B5DAA"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B5DAA" w:rsidRDefault="009B5DAA"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F3784D" w:rsidRPr="00F3784D" w:rsidRDefault="00B236EF" w:rsidP="00F3784D">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353870">
        <w:rPr>
          <w:rFonts w:ascii="Arial" w:hAnsi="Arial" w:cs="Arial"/>
          <w:b/>
          <w:bCs/>
          <w:sz w:val="24"/>
        </w:rPr>
        <w:t>QUESTION</w:t>
      </w:r>
      <w:r w:rsidR="00C85DD8" w:rsidRPr="00353870">
        <w:rPr>
          <w:rFonts w:ascii="Arial" w:hAnsi="Arial" w:cs="Arial"/>
          <w:b/>
          <w:bCs/>
          <w:sz w:val="24"/>
        </w:rPr>
        <w:t xml:space="preserve"> N</w:t>
      </w:r>
      <w:r w:rsidR="00C85DD8" w:rsidRPr="00F20BA6">
        <w:rPr>
          <w:rFonts w:ascii="Arial" w:hAnsi="Arial" w:cs="Arial"/>
          <w:b/>
          <w:bCs/>
          <w:sz w:val="24"/>
        </w:rPr>
        <w:t>O</w:t>
      </w:r>
      <w:r w:rsidR="00D66290" w:rsidRPr="00F20BA6">
        <w:rPr>
          <w:rFonts w:ascii="Arial" w:hAnsi="Arial" w:cs="Arial"/>
          <w:b/>
          <w:bCs/>
          <w:sz w:val="24"/>
        </w:rPr>
        <w:t xml:space="preserve">. </w:t>
      </w:r>
      <w:r w:rsidR="00F3784D" w:rsidRPr="00F3784D">
        <w:rPr>
          <w:rFonts w:ascii="Arial" w:eastAsia="Times New Roman" w:hAnsi="Arial" w:cs="Arial"/>
          <w:b/>
          <w:sz w:val="24"/>
          <w:szCs w:val="24"/>
          <w:lang w:val="en-US"/>
        </w:rPr>
        <w:t>255</w:t>
      </w:r>
      <w:r w:rsidR="007C0F9A">
        <w:rPr>
          <w:rFonts w:ascii="Arial" w:eastAsia="Times New Roman" w:hAnsi="Arial" w:cs="Arial"/>
          <w:b/>
          <w:sz w:val="24"/>
          <w:szCs w:val="24"/>
          <w:lang w:val="en-US"/>
        </w:rPr>
        <w:t>5</w:t>
      </w:r>
      <w:r w:rsidR="00F3784D" w:rsidRPr="00F3784D">
        <w:rPr>
          <w:rFonts w:ascii="Arial" w:eastAsia="Times New Roman" w:hAnsi="Arial" w:cs="Arial"/>
          <w:b/>
          <w:sz w:val="24"/>
          <w:szCs w:val="24"/>
          <w:lang w:val="en-US"/>
        </w:rPr>
        <w:tab/>
      </w:r>
    </w:p>
    <w:p w:rsidR="00F3784D" w:rsidRPr="00F3784D" w:rsidRDefault="00F3784D" w:rsidP="00F3784D">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F3784D">
        <w:rPr>
          <w:rFonts w:ascii="Arial" w:eastAsia="Times New Roman" w:hAnsi="Arial" w:cs="Arial"/>
          <w:b/>
          <w:sz w:val="24"/>
          <w:szCs w:val="24"/>
          <w:lang w:val="en-US"/>
        </w:rPr>
        <w:t xml:space="preserve">Mr. M J </w:t>
      </w:r>
      <w:r w:rsidRPr="00F3784D">
        <w:rPr>
          <w:rFonts w:ascii="Arial" w:hAnsi="Arial" w:cs="Arial"/>
          <w:b/>
          <w:sz w:val="24"/>
          <w:szCs w:val="24"/>
        </w:rPr>
        <w:t>Cuthbert</w:t>
      </w:r>
      <w:r w:rsidRPr="00F3784D">
        <w:rPr>
          <w:rFonts w:ascii="Arial" w:eastAsia="Times New Roman" w:hAnsi="Arial" w:cs="Arial"/>
          <w:b/>
          <w:sz w:val="24"/>
          <w:szCs w:val="24"/>
          <w:lang w:val="en-US"/>
        </w:rPr>
        <w:t xml:space="preserve"> (DA) to ask the Minister of Trade, Industry and </w:t>
      </w:r>
      <w:r w:rsidRPr="00F3784D">
        <w:rPr>
          <w:rFonts w:ascii="Arial" w:hAnsi="Arial" w:cs="Arial"/>
          <w:b/>
          <w:sz w:val="24"/>
          <w:szCs w:val="24"/>
          <w:lang w:val="en-US"/>
        </w:rPr>
        <w:t>Competition</w:t>
      </w:r>
      <w:r w:rsidR="00BA150F" w:rsidRPr="00F3784D">
        <w:rPr>
          <w:rFonts w:ascii="Arial" w:hAnsi="Arial" w:cs="Arial"/>
          <w:b/>
          <w:sz w:val="24"/>
          <w:szCs w:val="24"/>
          <w:lang w:val="en-US"/>
        </w:rPr>
        <w:fldChar w:fldCharType="begin"/>
      </w:r>
      <w:r w:rsidRPr="00F3784D">
        <w:rPr>
          <w:rFonts w:ascii="Arial" w:hAnsi="Arial" w:cs="Arial"/>
        </w:rPr>
        <w:instrText xml:space="preserve"> XE "</w:instrText>
      </w:r>
      <w:r w:rsidRPr="00F3784D">
        <w:rPr>
          <w:rFonts w:ascii="Arial" w:eastAsia="Times New Roman" w:hAnsi="Arial" w:cs="Arial"/>
          <w:b/>
          <w:sz w:val="24"/>
          <w:szCs w:val="24"/>
          <w:lang w:val="en-US"/>
        </w:rPr>
        <w:instrText xml:space="preserve">Trade, Industry and </w:instrText>
      </w:r>
      <w:r w:rsidRPr="00F3784D">
        <w:rPr>
          <w:rFonts w:ascii="Arial" w:hAnsi="Arial" w:cs="Arial"/>
          <w:b/>
          <w:sz w:val="24"/>
          <w:szCs w:val="24"/>
          <w:lang w:val="en-US"/>
        </w:rPr>
        <w:instrText>Competition</w:instrText>
      </w:r>
      <w:r w:rsidRPr="00F3784D">
        <w:rPr>
          <w:rFonts w:ascii="Arial" w:hAnsi="Arial" w:cs="Arial"/>
        </w:rPr>
        <w:instrText xml:space="preserve">" </w:instrText>
      </w:r>
      <w:r w:rsidR="00BA150F" w:rsidRPr="00F3784D">
        <w:rPr>
          <w:rFonts w:ascii="Arial" w:hAnsi="Arial" w:cs="Arial"/>
          <w:b/>
          <w:sz w:val="24"/>
          <w:szCs w:val="24"/>
          <w:lang w:val="en-US"/>
        </w:rPr>
        <w:fldChar w:fldCharType="end"/>
      </w:r>
      <w:r w:rsidRPr="00F3784D">
        <w:rPr>
          <w:rFonts w:ascii="Arial" w:eastAsia="Times New Roman" w:hAnsi="Arial" w:cs="Arial"/>
          <w:b/>
          <w:sz w:val="24"/>
          <w:szCs w:val="24"/>
          <w:lang w:val="en-US"/>
        </w:rPr>
        <w:t>:</w:t>
      </w:r>
    </w:p>
    <w:p w:rsidR="007C0F9A" w:rsidRPr="007C0F9A" w:rsidRDefault="007C0F9A" w:rsidP="007C0F9A">
      <w:pPr>
        <w:spacing w:before="100" w:beforeAutospacing="1" w:after="100" w:afterAutospacing="1" w:line="276" w:lineRule="auto"/>
        <w:ind w:left="720" w:hanging="720"/>
        <w:jc w:val="both"/>
        <w:rPr>
          <w:rFonts w:ascii="Arial" w:hAnsi="Arial" w:cs="Arial"/>
          <w:sz w:val="24"/>
          <w:szCs w:val="24"/>
        </w:rPr>
      </w:pPr>
      <w:r w:rsidRPr="007C0F9A">
        <w:rPr>
          <w:rFonts w:ascii="Arial" w:hAnsi="Arial" w:cs="Arial"/>
          <w:sz w:val="24"/>
          <w:szCs w:val="24"/>
        </w:rPr>
        <w:t xml:space="preserve"> (1)</w:t>
      </w:r>
      <w:r w:rsidRPr="007C0F9A">
        <w:rPr>
          <w:rFonts w:ascii="Arial" w:hAnsi="Arial" w:cs="Arial"/>
          <w:sz w:val="24"/>
          <w:szCs w:val="24"/>
        </w:rPr>
        <w:tab/>
        <w:t>What (a) return is the National Lotteries Commission (NLC) getting on each investment that it has and (b) are the full relevant details of the list of impairments on advances and/or investments;</w:t>
      </w:r>
    </w:p>
    <w:p w:rsidR="00355851" w:rsidRPr="00450499" w:rsidRDefault="007C0F9A" w:rsidP="007C0F9A">
      <w:pPr>
        <w:spacing w:after="0" w:line="276" w:lineRule="auto"/>
        <w:ind w:left="720" w:hanging="720"/>
        <w:jc w:val="both"/>
        <w:outlineLvl w:val="0"/>
        <w:rPr>
          <w:rFonts w:ascii="Arial" w:eastAsia="Times New Roman" w:hAnsi="Arial" w:cs="Arial"/>
          <w:sz w:val="20"/>
          <w:szCs w:val="20"/>
          <w:lang w:val="en-US"/>
        </w:rPr>
      </w:pPr>
      <w:r w:rsidRPr="007C0F9A">
        <w:rPr>
          <w:rFonts w:ascii="Arial" w:hAnsi="Arial" w:cs="Arial"/>
          <w:sz w:val="24"/>
          <w:szCs w:val="24"/>
        </w:rPr>
        <w:t>(2)</w:t>
      </w:r>
      <w:r w:rsidRPr="007C0F9A">
        <w:rPr>
          <w:rFonts w:ascii="Arial" w:hAnsi="Arial" w:cs="Arial"/>
          <w:sz w:val="24"/>
          <w:szCs w:val="24"/>
        </w:rPr>
        <w:tab/>
        <w:t>what is the investment criteria policy of the NLC’s investment committee, including the (a) type of investment (details furnished), (b) duration and/or period of the investment, (c) the investment quality (details furnished) and (d) which investments are not permitted</w:t>
      </w:r>
      <w:r w:rsidRPr="007C0F9A">
        <w:rPr>
          <w:rFonts w:ascii="Arial" w:eastAsia="Times New Roman" w:hAnsi="Arial" w:cs="Arial"/>
          <w:sz w:val="24"/>
          <w:szCs w:val="24"/>
        </w:rPr>
        <w:t>?</w:t>
      </w:r>
      <w:r w:rsidRPr="007C0F9A">
        <w:rPr>
          <w:rFonts w:ascii="Arial" w:eastAsia="Times New Roman" w:hAnsi="Arial" w:cs="Arial"/>
          <w:sz w:val="24"/>
          <w:szCs w:val="24"/>
        </w:rPr>
        <w:tab/>
      </w:r>
      <w:r w:rsidR="00225B64" w:rsidRPr="00225B64">
        <w:rPr>
          <w:rFonts w:ascii="Arial" w:eastAsia="Times New Roman" w:hAnsi="Arial" w:cs="Arial"/>
          <w:sz w:val="24"/>
          <w:szCs w:val="24"/>
        </w:rPr>
        <w:t>NW3226E</w:t>
      </w:r>
      <w:r w:rsidRPr="00252546">
        <w:rPr>
          <w:rFonts w:ascii="Times New Roman" w:eastAsia="Times New Roman" w:hAnsi="Times New Roman" w:cs="Times New Roman"/>
          <w:sz w:val="24"/>
          <w:szCs w:val="24"/>
        </w:rPr>
        <w:tab/>
      </w:r>
    </w:p>
    <w:p w:rsidR="009B5DAA" w:rsidRDefault="009B5DAA"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p>
    <w:p w:rsidR="00432417" w:rsidRDefault="009B5DAA"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9B5DAA" w:rsidRDefault="009B5DAA" w:rsidP="00177657">
      <w:pPr>
        <w:spacing w:after="0" w:line="276" w:lineRule="auto"/>
        <w:jc w:val="both"/>
        <w:rPr>
          <w:rFonts w:ascii="Arial" w:eastAsia="Times New Roman" w:hAnsi="Arial" w:cs="Arial"/>
          <w:bCs/>
          <w:sz w:val="24"/>
          <w:szCs w:val="24"/>
          <w:lang w:val="en-US"/>
        </w:rPr>
      </w:pPr>
      <w:r w:rsidRPr="00E93DEF">
        <w:rPr>
          <w:rFonts w:ascii="Arial" w:eastAsia="Times New Roman" w:hAnsi="Arial" w:cs="Arial"/>
          <w:bCs/>
          <w:sz w:val="24"/>
          <w:szCs w:val="24"/>
          <w:lang w:val="en-US"/>
        </w:rPr>
        <w:t xml:space="preserve">I have been furnished with a reply </w:t>
      </w:r>
      <w:r>
        <w:rPr>
          <w:rFonts w:ascii="Arial" w:eastAsia="Times New Roman" w:hAnsi="Arial" w:cs="Arial"/>
          <w:bCs/>
          <w:sz w:val="24"/>
          <w:szCs w:val="24"/>
          <w:lang w:val="en-US"/>
        </w:rPr>
        <w:t xml:space="preserve">to the question submitted, </w:t>
      </w:r>
      <w:r w:rsidRPr="00E93DEF">
        <w:rPr>
          <w:rFonts w:ascii="Arial" w:eastAsia="Times New Roman" w:hAnsi="Arial" w:cs="Arial"/>
          <w:bCs/>
          <w:sz w:val="24"/>
          <w:szCs w:val="24"/>
          <w:lang w:val="en-US"/>
        </w:rPr>
        <w:t xml:space="preserve">by </w:t>
      </w:r>
      <w:r>
        <w:rPr>
          <w:rFonts w:ascii="Arial" w:eastAsia="Times New Roman" w:hAnsi="Arial" w:cs="Arial"/>
          <w:bCs/>
          <w:sz w:val="24"/>
          <w:szCs w:val="24"/>
          <w:lang w:val="en-US"/>
        </w:rPr>
        <w:t>Ms Thabang Mampane, Commissioner</w:t>
      </w:r>
      <w:r w:rsidRPr="00E93DEF">
        <w:rPr>
          <w:rFonts w:ascii="Arial" w:eastAsia="Times New Roman" w:hAnsi="Arial" w:cs="Arial"/>
          <w:bCs/>
          <w:sz w:val="24"/>
          <w:szCs w:val="24"/>
          <w:lang w:val="en-US"/>
        </w:rPr>
        <w:t xml:space="preserve"> of the National Lotteries Commission, which is reproduced below. </w:t>
      </w:r>
    </w:p>
    <w:p w:rsidR="009B5DAA" w:rsidRDefault="009B5DAA" w:rsidP="00177657">
      <w:pPr>
        <w:spacing w:after="0" w:line="276" w:lineRule="auto"/>
        <w:jc w:val="both"/>
        <w:rPr>
          <w:rFonts w:ascii="Arial" w:eastAsia="Times New Roman" w:hAnsi="Arial" w:cs="Arial"/>
          <w:bCs/>
          <w:sz w:val="24"/>
          <w:szCs w:val="24"/>
          <w:lang w:val="en-US"/>
        </w:rPr>
      </w:pPr>
    </w:p>
    <w:p w:rsidR="003C2B33" w:rsidRPr="00046979" w:rsidRDefault="00046979" w:rsidP="00177657">
      <w:pPr>
        <w:spacing w:after="0" w:line="276" w:lineRule="auto"/>
        <w:jc w:val="both"/>
        <w:rPr>
          <w:rFonts w:ascii="Arial" w:hAnsi="Arial" w:cs="Arial"/>
          <w:bCs/>
          <w:i/>
          <w:iCs/>
          <w:sz w:val="24"/>
          <w:szCs w:val="24"/>
        </w:rPr>
      </w:pPr>
      <w:r w:rsidRPr="00046979">
        <w:rPr>
          <w:rFonts w:ascii="Arial" w:hAnsi="Arial" w:cs="Arial"/>
          <w:bCs/>
          <w:i/>
          <w:iCs/>
          <w:sz w:val="24"/>
          <w:szCs w:val="24"/>
        </w:rPr>
        <w:t>“</w:t>
      </w:r>
      <w:r w:rsidR="00177657" w:rsidRPr="00046979">
        <w:rPr>
          <w:rFonts w:ascii="Arial" w:hAnsi="Arial" w:cs="Arial"/>
          <w:bCs/>
          <w:i/>
          <w:iCs/>
          <w:sz w:val="24"/>
          <w:szCs w:val="24"/>
        </w:rPr>
        <w:t xml:space="preserve">(1)(a) In the 2019/20 financial year the NLC achieved a return of 8,42%. </w:t>
      </w:r>
    </w:p>
    <w:p w:rsidR="003C2B33" w:rsidRPr="00046979" w:rsidRDefault="003C2B33" w:rsidP="00177657">
      <w:pPr>
        <w:spacing w:after="0" w:line="276" w:lineRule="auto"/>
        <w:jc w:val="both"/>
        <w:rPr>
          <w:rFonts w:ascii="Arial" w:hAnsi="Arial" w:cs="Arial"/>
          <w:bCs/>
          <w:i/>
          <w:iCs/>
          <w:sz w:val="24"/>
          <w:szCs w:val="24"/>
        </w:rPr>
      </w:pPr>
    </w:p>
    <w:p w:rsidR="00177657" w:rsidRPr="00046979" w:rsidRDefault="00177657" w:rsidP="003C2B33">
      <w:pPr>
        <w:spacing w:after="0" w:line="276" w:lineRule="auto"/>
        <w:ind w:left="720" w:hanging="720"/>
        <w:jc w:val="both"/>
        <w:rPr>
          <w:rFonts w:ascii="Arial" w:hAnsi="Arial" w:cs="Arial"/>
          <w:bCs/>
          <w:i/>
          <w:iCs/>
          <w:sz w:val="24"/>
          <w:szCs w:val="24"/>
        </w:rPr>
      </w:pPr>
      <w:r w:rsidRPr="00046979">
        <w:rPr>
          <w:rFonts w:ascii="Arial" w:hAnsi="Arial" w:cs="Arial"/>
          <w:bCs/>
          <w:i/>
          <w:iCs/>
          <w:sz w:val="24"/>
          <w:szCs w:val="24"/>
        </w:rPr>
        <w:t>(b)  In terms of Generally Recognised Accounting Practice (GRAP) 104, the NLC had fair value adjustment of R9,2 million during the 2019/20 financial year.</w:t>
      </w:r>
    </w:p>
    <w:p w:rsidR="00177657" w:rsidRPr="00046979" w:rsidRDefault="00177657" w:rsidP="00177657">
      <w:pPr>
        <w:spacing w:after="0" w:line="276" w:lineRule="auto"/>
        <w:jc w:val="both"/>
        <w:rPr>
          <w:rFonts w:ascii="Arial" w:hAnsi="Arial" w:cs="Arial"/>
          <w:bCs/>
          <w:i/>
          <w:iCs/>
          <w:sz w:val="24"/>
          <w:szCs w:val="24"/>
        </w:rPr>
      </w:pPr>
    </w:p>
    <w:p w:rsidR="00177657" w:rsidRPr="00046979" w:rsidRDefault="00177657" w:rsidP="00177657">
      <w:pPr>
        <w:spacing w:after="0" w:line="276" w:lineRule="auto"/>
        <w:jc w:val="both"/>
        <w:rPr>
          <w:rFonts w:ascii="Arial" w:hAnsi="Arial" w:cs="Arial"/>
          <w:bCs/>
          <w:i/>
          <w:iCs/>
          <w:sz w:val="24"/>
          <w:szCs w:val="24"/>
        </w:rPr>
      </w:pPr>
      <w:r w:rsidRPr="00046979">
        <w:rPr>
          <w:rFonts w:ascii="Arial" w:hAnsi="Arial" w:cs="Arial"/>
          <w:bCs/>
          <w:i/>
          <w:iCs/>
          <w:sz w:val="24"/>
          <w:szCs w:val="24"/>
        </w:rPr>
        <w:t>(2)(a) The NLC has an approved investment policy in compliance with Treasury Regulation 31.3.1. The following principles are noted from the approved investment policy-</w:t>
      </w:r>
    </w:p>
    <w:p w:rsidR="00177657" w:rsidRPr="00046979" w:rsidRDefault="00177657" w:rsidP="00177657">
      <w:pPr>
        <w:spacing w:after="0" w:line="276" w:lineRule="auto"/>
        <w:ind w:left="1134" w:hanging="425"/>
        <w:jc w:val="both"/>
        <w:rPr>
          <w:rFonts w:ascii="Arial" w:hAnsi="Arial" w:cs="Arial"/>
          <w:bCs/>
          <w:i/>
          <w:iCs/>
          <w:sz w:val="24"/>
          <w:szCs w:val="24"/>
        </w:rPr>
      </w:pPr>
      <w:r w:rsidRPr="00046979">
        <w:rPr>
          <w:rFonts w:ascii="Arial" w:hAnsi="Arial" w:cs="Arial"/>
          <w:bCs/>
          <w:i/>
          <w:iCs/>
          <w:sz w:val="24"/>
          <w:szCs w:val="24"/>
        </w:rPr>
        <w:t>i)</w:t>
      </w:r>
      <w:r w:rsidRPr="00046979">
        <w:rPr>
          <w:rFonts w:ascii="Arial" w:hAnsi="Arial" w:cs="Arial"/>
          <w:bCs/>
          <w:i/>
          <w:iCs/>
          <w:sz w:val="24"/>
          <w:szCs w:val="24"/>
        </w:rPr>
        <w:tab/>
        <w:t>The pillars of the investment policy include amongst other Capital Preservation and maximization of returns.</w:t>
      </w:r>
    </w:p>
    <w:p w:rsidR="00177657" w:rsidRPr="00046979" w:rsidRDefault="00177657" w:rsidP="00177657">
      <w:pPr>
        <w:spacing w:after="0" w:line="276" w:lineRule="auto"/>
        <w:ind w:left="1134" w:hanging="425"/>
        <w:jc w:val="both"/>
        <w:rPr>
          <w:rFonts w:ascii="Arial" w:hAnsi="Arial" w:cs="Arial"/>
          <w:bCs/>
          <w:i/>
          <w:iCs/>
          <w:sz w:val="24"/>
          <w:szCs w:val="24"/>
        </w:rPr>
      </w:pPr>
      <w:r w:rsidRPr="00046979">
        <w:rPr>
          <w:rFonts w:ascii="Arial" w:hAnsi="Arial" w:cs="Arial"/>
          <w:bCs/>
          <w:i/>
          <w:iCs/>
          <w:sz w:val="24"/>
          <w:szCs w:val="24"/>
        </w:rPr>
        <w:t>ii)</w:t>
      </w:r>
      <w:r w:rsidRPr="00046979">
        <w:rPr>
          <w:rFonts w:ascii="Arial" w:hAnsi="Arial" w:cs="Arial"/>
          <w:bCs/>
          <w:i/>
          <w:iCs/>
          <w:sz w:val="24"/>
          <w:szCs w:val="24"/>
        </w:rPr>
        <w:tab/>
        <w:t>Monies that may be placed in long term investment products should be with banks that have bank guaranteed deposits</w:t>
      </w:r>
    </w:p>
    <w:p w:rsidR="00177657" w:rsidRPr="00046979" w:rsidRDefault="00177657" w:rsidP="00177657">
      <w:pPr>
        <w:spacing w:after="0" w:line="276" w:lineRule="auto"/>
        <w:ind w:left="709" w:hanging="709"/>
        <w:jc w:val="both"/>
        <w:rPr>
          <w:rFonts w:ascii="Arial" w:hAnsi="Arial" w:cs="Arial"/>
          <w:bCs/>
          <w:i/>
          <w:iCs/>
          <w:sz w:val="24"/>
          <w:szCs w:val="24"/>
        </w:rPr>
      </w:pPr>
      <w:r w:rsidRPr="00046979">
        <w:rPr>
          <w:rFonts w:ascii="Arial" w:hAnsi="Arial" w:cs="Arial"/>
          <w:bCs/>
          <w:i/>
          <w:iCs/>
          <w:sz w:val="24"/>
          <w:szCs w:val="24"/>
        </w:rPr>
        <w:lastRenderedPageBreak/>
        <w:t xml:space="preserve">    (b)  In accordance with the approved investment policy, NLC investments in maturity periods of between 3 months to long-term of 5 years. </w:t>
      </w:r>
    </w:p>
    <w:p w:rsidR="00177657" w:rsidRPr="00046979" w:rsidRDefault="00177657" w:rsidP="00177657">
      <w:pPr>
        <w:spacing w:after="0" w:line="276" w:lineRule="auto"/>
        <w:ind w:left="709" w:hanging="709"/>
        <w:jc w:val="both"/>
        <w:rPr>
          <w:rFonts w:ascii="Arial" w:hAnsi="Arial" w:cs="Arial"/>
          <w:bCs/>
          <w:i/>
          <w:iCs/>
          <w:sz w:val="24"/>
          <w:szCs w:val="24"/>
        </w:rPr>
      </w:pPr>
      <w:r w:rsidRPr="00046979">
        <w:rPr>
          <w:rFonts w:ascii="Arial" w:hAnsi="Arial" w:cs="Arial"/>
          <w:bCs/>
          <w:i/>
          <w:iCs/>
          <w:sz w:val="24"/>
          <w:szCs w:val="24"/>
        </w:rPr>
        <w:t xml:space="preserve">    (c)  The banks with which NLC invests are rated by the various rating agencies. The investment quality is determined by the investment ratings given by the rating agencies.</w:t>
      </w:r>
    </w:p>
    <w:p w:rsidR="00F3784D" w:rsidRPr="00046979" w:rsidRDefault="00177657" w:rsidP="00177657">
      <w:pPr>
        <w:spacing w:after="0" w:line="276" w:lineRule="auto"/>
        <w:ind w:left="709" w:hanging="709"/>
        <w:jc w:val="both"/>
        <w:rPr>
          <w:rFonts w:ascii="Arial" w:hAnsi="Arial" w:cs="Arial"/>
          <w:bCs/>
          <w:i/>
          <w:iCs/>
          <w:sz w:val="24"/>
          <w:szCs w:val="24"/>
        </w:rPr>
      </w:pPr>
      <w:r w:rsidRPr="00046979">
        <w:rPr>
          <w:rFonts w:ascii="Arial" w:hAnsi="Arial" w:cs="Arial"/>
          <w:bCs/>
          <w:i/>
          <w:iCs/>
          <w:sz w:val="24"/>
          <w:szCs w:val="24"/>
        </w:rPr>
        <w:t xml:space="preserve">    (d)  The NLC is guided by an approved investment policy.  Investments that do not have capital preservation are not permitted.</w:t>
      </w:r>
      <w:r w:rsidR="00046979" w:rsidRPr="00046979">
        <w:rPr>
          <w:rFonts w:ascii="Arial" w:hAnsi="Arial" w:cs="Arial"/>
          <w:bCs/>
          <w:i/>
          <w:iCs/>
          <w:sz w:val="24"/>
          <w:szCs w:val="24"/>
        </w:rPr>
        <w:t>”</w:t>
      </w:r>
    </w:p>
    <w:p w:rsidR="00F3784D" w:rsidRDefault="00F3784D" w:rsidP="00F3784D">
      <w:pPr>
        <w:spacing w:after="0" w:line="360" w:lineRule="auto"/>
        <w:ind w:left="567" w:hanging="567"/>
        <w:rPr>
          <w:rFonts w:ascii="Arial" w:hAnsi="Arial" w:cs="Arial"/>
          <w:b/>
          <w:bCs/>
          <w:sz w:val="24"/>
          <w:szCs w:val="24"/>
        </w:rPr>
      </w:pPr>
    </w:p>
    <w:p w:rsidR="009B5DAA" w:rsidRDefault="009B5DAA" w:rsidP="0031644A">
      <w:pPr>
        <w:spacing w:after="0" w:line="360" w:lineRule="auto"/>
        <w:jc w:val="both"/>
        <w:rPr>
          <w:rFonts w:ascii="Arial" w:hAnsi="Arial" w:cs="Arial"/>
          <w:b/>
          <w:bCs/>
          <w:sz w:val="24"/>
          <w:szCs w:val="24"/>
        </w:rPr>
      </w:pPr>
    </w:p>
    <w:p w:rsidR="0031644A" w:rsidRPr="00C07922" w:rsidRDefault="00B7333A" w:rsidP="00B7333A">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0FA" w:rsidRDefault="007C40FA" w:rsidP="006D054B">
      <w:pPr>
        <w:spacing w:after="0" w:line="240" w:lineRule="auto"/>
      </w:pPr>
      <w:r>
        <w:separator/>
      </w:r>
    </w:p>
  </w:endnote>
  <w:endnote w:type="continuationSeparator" w:id="1">
    <w:p w:rsidR="007C40FA" w:rsidRDefault="007C40F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BA150F">
        <w:pPr>
          <w:pStyle w:val="Footer"/>
          <w:jc w:val="center"/>
        </w:pPr>
        <w:r>
          <w:fldChar w:fldCharType="begin"/>
        </w:r>
        <w:r w:rsidR="00C90387">
          <w:instrText xml:space="preserve"> PAGE   \* MERGEFORMAT </w:instrText>
        </w:r>
        <w:r>
          <w:fldChar w:fldCharType="separate"/>
        </w:r>
        <w:r w:rsidR="006213A6">
          <w:rPr>
            <w:noProof/>
          </w:rPr>
          <w:t>1</w:t>
        </w:r>
        <w:r>
          <w:rPr>
            <w:noProof/>
          </w:rPr>
          <w:fldChar w:fldCharType="end"/>
        </w:r>
      </w:p>
    </w:sdtContent>
  </w:sdt>
  <w:p w:rsidR="00C90387" w:rsidRDefault="00B70823" w:rsidP="00C90387">
    <w:pPr>
      <w:pStyle w:val="Footer"/>
      <w:jc w:val="center"/>
    </w:pPr>
    <w:r>
      <w:t>Parliamentary Question</w:t>
    </w:r>
    <w:r w:rsidR="00450499">
      <w:t>: NA PQ 2</w:t>
    </w:r>
    <w:r w:rsidR="00F3784D">
      <w:t>5</w:t>
    </w:r>
    <w:r w:rsidR="00F20BA6">
      <w:t>5</w:t>
    </w:r>
    <w:r w:rsidR="007C0F9A">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0FA" w:rsidRDefault="007C40FA" w:rsidP="006D054B">
      <w:pPr>
        <w:spacing w:after="0" w:line="240" w:lineRule="auto"/>
      </w:pPr>
      <w:r>
        <w:separator/>
      </w:r>
    </w:p>
  </w:footnote>
  <w:footnote w:type="continuationSeparator" w:id="1">
    <w:p w:rsidR="007C40FA" w:rsidRDefault="007C40F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2"/>
  </w:num>
  <w:num w:numId="2">
    <w:abstractNumId w:val="32"/>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6"/>
  </w:num>
  <w:num w:numId="8">
    <w:abstractNumId w:val="26"/>
  </w:num>
  <w:num w:numId="9">
    <w:abstractNumId w:val="20"/>
  </w:num>
  <w:num w:numId="10">
    <w:abstractNumId w:val="1"/>
  </w:num>
  <w:num w:numId="11">
    <w:abstractNumId w:val="16"/>
  </w:num>
  <w:num w:numId="12">
    <w:abstractNumId w:val="22"/>
  </w:num>
  <w:num w:numId="13">
    <w:abstractNumId w:val="30"/>
  </w:num>
  <w:num w:numId="14">
    <w:abstractNumId w:val="14"/>
  </w:num>
  <w:num w:numId="15">
    <w:abstractNumId w:val="4"/>
  </w:num>
  <w:num w:numId="16">
    <w:abstractNumId w:val="15"/>
  </w:num>
  <w:num w:numId="17">
    <w:abstractNumId w:val="24"/>
  </w:num>
  <w:num w:numId="18">
    <w:abstractNumId w:val="19"/>
  </w:num>
  <w:num w:numId="19">
    <w:abstractNumId w:val="23"/>
  </w:num>
  <w:num w:numId="20">
    <w:abstractNumId w:val="2"/>
  </w:num>
  <w:num w:numId="21">
    <w:abstractNumId w:val="28"/>
  </w:num>
  <w:num w:numId="22">
    <w:abstractNumId w:val="13"/>
  </w:num>
  <w:num w:numId="23">
    <w:abstractNumId w:val="17"/>
  </w:num>
  <w:num w:numId="24">
    <w:abstractNumId w:val="10"/>
  </w:num>
  <w:num w:numId="25">
    <w:abstractNumId w:val="11"/>
  </w:num>
  <w:num w:numId="26">
    <w:abstractNumId w:val="5"/>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31"/>
  </w:num>
  <w:num w:numId="32">
    <w:abstractNumId w:val="34"/>
  </w:num>
  <w:num w:numId="33">
    <w:abstractNumId w:val="27"/>
  </w:num>
  <w:num w:numId="34">
    <w:abstractNumId w:val="18"/>
  </w:num>
  <w:num w:numId="35">
    <w:abstractNumId w:val="8"/>
  </w:num>
  <w:num w:numId="36">
    <w:abstractNumId w:val="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4549"/>
    <w:rsid w:val="00006948"/>
    <w:rsid w:val="000077EE"/>
    <w:rsid w:val="00014467"/>
    <w:rsid w:val="000148F3"/>
    <w:rsid w:val="00030EF0"/>
    <w:rsid w:val="0003191E"/>
    <w:rsid w:val="00031D1F"/>
    <w:rsid w:val="00041805"/>
    <w:rsid w:val="00046979"/>
    <w:rsid w:val="00046D78"/>
    <w:rsid w:val="00057BE8"/>
    <w:rsid w:val="0006536D"/>
    <w:rsid w:val="00071E10"/>
    <w:rsid w:val="000B0517"/>
    <w:rsid w:val="000B2DB1"/>
    <w:rsid w:val="000C4638"/>
    <w:rsid w:val="000D3BB4"/>
    <w:rsid w:val="000D608B"/>
    <w:rsid w:val="000F730D"/>
    <w:rsid w:val="00130895"/>
    <w:rsid w:val="001442F0"/>
    <w:rsid w:val="0016019E"/>
    <w:rsid w:val="001602E3"/>
    <w:rsid w:val="00172E12"/>
    <w:rsid w:val="00173512"/>
    <w:rsid w:val="00176749"/>
    <w:rsid w:val="00177657"/>
    <w:rsid w:val="00182352"/>
    <w:rsid w:val="001877AA"/>
    <w:rsid w:val="0019258D"/>
    <w:rsid w:val="00197D18"/>
    <w:rsid w:val="001A33E4"/>
    <w:rsid w:val="001E2965"/>
    <w:rsid w:val="0020655C"/>
    <w:rsid w:val="00212F7F"/>
    <w:rsid w:val="002150F1"/>
    <w:rsid w:val="00225B64"/>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644A"/>
    <w:rsid w:val="003231B7"/>
    <w:rsid w:val="00331194"/>
    <w:rsid w:val="00332C21"/>
    <w:rsid w:val="00336052"/>
    <w:rsid w:val="00342A59"/>
    <w:rsid w:val="00351BDA"/>
    <w:rsid w:val="00353870"/>
    <w:rsid w:val="00355851"/>
    <w:rsid w:val="003632E6"/>
    <w:rsid w:val="0038197F"/>
    <w:rsid w:val="00383F6C"/>
    <w:rsid w:val="003849F7"/>
    <w:rsid w:val="00385BF1"/>
    <w:rsid w:val="003A3726"/>
    <w:rsid w:val="003B2450"/>
    <w:rsid w:val="003C2B33"/>
    <w:rsid w:val="003C5DAD"/>
    <w:rsid w:val="003D6475"/>
    <w:rsid w:val="00402C36"/>
    <w:rsid w:val="00405055"/>
    <w:rsid w:val="00414059"/>
    <w:rsid w:val="00414E30"/>
    <w:rsid w:val="00431C51"/>
    <w:rsid w:val="00432417"/>
    <w:rsid w:val="004348E7"/>
    <w:rsid w:val="00437E8B"/>
    <w:rsid w:val="004469F4"/>
    <w:rsid w:val="00450499"/>
    <w:rsid w:val="00484CF4"/>
    <w:rsid w:val="00493614"/>
    <w:rsid w:val="004B2BE0"/>
    <w:rsid w:val="004C432F"/>
    <w:rsid w:val="004D0F02"/>
    <w:rsid w:val="004E2E71"/>
    <w:rsid w:val="004F21E0"/>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212FC"/>
    <w:rsid w:val="006213A6"/>
    <w:rsid w:val="00622A03"/>
    <w:rsid w:val="00630075"/>
    <w:rsid w:val="00640078"/>
    <w:rsid w:val="00640E3F"/>
    <w:rsid w:val="006420D0"/>
    <w:rsid w:val="006445D1"/>
    <w:rsid w:val="00645F45"/>
    <w:rsid w:val="006847A1"/>
    <w:rsid w:val="0068622F"/>
    <w:rsid w:val="006932B2"/>
    <w:rsid w:val="00694349"/>
    <w:rsid w:val="006B0FE2"/>
    <w:rsid w:val="006B1132"/>
    <w:rsid w:val="006C6F31"/>
    <w:rsid w:val="006D054B"/>
    <w:rsid w:val="006D0D2E"/>
    <w:rsid w:val="006E5CFB"/>
    <w:rsid w:val="00707C88"/>
    <w:rsid w:val="0072078E"/>
    <w:rsid w:val="007477F1"/>
    <w:rsid w:val="00755CC6"/>
    <w:rsid w:val="00761225"/>
    <w:rsid w:val="00764318"/>
    <w:rsid w:val="0078637F"/>
    <w:rsid w:val="007874E8"/>
    <w:rsid w:val="00792751"/>
    <w:rsid w:val="007A39A1"/>
    <w:rsid w:val="007B14C3"/>
    <w:rsid w:val="007B412F"/>
    <w:rsid w:val="007B7DA8"/>
    <w:rsid w:val="007C0F9A"/>
    <w:rsid w:val="007C40FA"/>
    <w:rsid w:val="007D1596"/>
    <w:rsid w:val="007D1D58"/>
    <w:rsid w:val="007D2A4F"/>
    <w:rsid w:val="007F37C9"/>
    <w:rsid w:val="007F5435"/>
    <w:rsid w:val="00803209"/>
    <w:rsid w:val="00815C1C"/>
    <w:rsid w:val="00833E81"/>
    <w:rsid w:val="00841350"/>
    <w:rsid w:val="008528EA"/>
    <w:rsid w:val="00853BDC"/>
    <w:rsid w:val="00855ABA"/>
    <w:rsid w:val="008634FA"/>
    <w:rsid w:val="00891DBB"/>
    <w:rsid w:val="00892467"/>
    <w:rsid w:val="00894F69"/>
    <w:rsid w:val="008A13F9"/>
    <w:rsid w:val="008A31A0"/>
    <w:rsid w:val="008A796E"/>
    <w:rsid w:val="008D06C0"/>
    <w:rsid w:val="008F2BF5"/>
    <w:rsid w:val="009051CD"/>
    <w:rsid w:val="00911828"/>
    <w:rsid w:val="00916351"/>
    <w:rsid w:val="0093226B"/>
    <w:rsid w:val="00936D98"/>
    <w:rsid w:val="009433BE"/>
    <w:rsid w:val="0094388C"/>
    <w:rsid w:val="00962A53"/>
    <w:rsid w:val="009644E4"/>
    <w:rsid w:val="00965C03"/>
    <w:rsid w:val="00970287"/>
    <w:rsid w:val="009910BC"/>
    <w:rsid w:val="0099215A"/>
    <w:rsid w:val="009A0FF0"/>
    <w:rsid w:val="009B5DAA"/>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81AFD"/>
    <w:rsid w:val="00A8329E"/>
    <w:rsid w:val="00A84F6F"/>
    <w:rsid w:val="00A922E1"/>
    <w:rsid w:val="00AB1371"/>
    <w:rsid w:val="00AB27A3"/>
    <w:rsid w:val="00AB6763"/>
    <w:rsid w:val="00AC2D13"/>
    <w:rsid w:val="00AC42AA"/>
    <w:rsid w:val="00AD1369"/>
    <w:rsid w:val="00AD5816"/>
    <w:rsid w:val="00AD5AE5"/>
    <w:rsid w:val="00AD7FCF"/>
    <w:rsid w:val="00AE418E"/>
    <w:rsid w:val="00AE642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333A"/>
    <w:rsid w:val="00B77AE5"/>
    <w:rsid w:val="00B9157F"/>
    <w:rsid w:val="00BA150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613A"/>
    <w:rsid w:val="00C56886"/>
    <w:rsid w:val="00C60F52"/>
    <w:rsid w:val="00C71BF9"/>
    <w:rsid w:val="00C77734"/>
    <w:rsid w:val="00C84F7E"/>
    <w:rsid w:val="00C8544C"/>
    <w:rsid w:val="00C85DD8"/>
    <w:rsid w:val="00C87296"/>
    <w:rsid w:val="00C90387"/>
    <w:rsid w:val="00C9270E"/>
    <w:rsid w:val="00CC0725"/>
    <w:rsid w:val="00CC7044"/>
    <w:rsid w:val="00CD0132"/>
    <w:rsid w:val="00D02EE1"/>
    <w:rsid w:val="00D07B84"/>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C7AAB"/>
    <w:rsid w:val="00ED46F3"/>
    <w:rsid w:val="00EE05BB"/>
    <w:rsid w:val="00EE6E0C"/>
    <w:rsid w:val="00EF6351"/>
    <w:rsid w:val="00F04A3B"/>
    <w:rsid w:val="00F065DF"/>
    <w:rsid w:val="00F15796"/>
    <w:rsid w:val="00F20BA6"/>
    <w:rsid w:val="00F32232"/>
    <w:rsid w:val="00F3784D"/>
    <w:rsid w:val="00F51CB8"/>
    <w:rsid w:val="00F652B8"/>
    <w:rsid w:val="00F665B1"/>
    <w:rsid w:val="00F671DD"/>
    <w:rsid w:val="00F716B6"/>
    <w:rsid w:val="00F8074E"/>
    <w:rsid w:val="00F829BC"/>
    <w:rsid w:val="00F9020F"/>
    <w:rsid w:val="00FB765E"/>
    <w:rsid w:val="00FC3523"/>
    <w:rsid w:val="00FC3609"/>
    <w:rsid w:val="00FC502E"/>
    <w:rsid w:val="00FD0332"/>
    <w:rsid w:val="00FD1E8A"/>
    <w:rsid w:val="00FD74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33FB-3463-4033-B5DB-12573CE3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2020-11-27T20:00:00Z</dcterms:created>
  <dcterms:modified xsi:type="dcterms:W3CDTF">2020-11-27T20:00:00Z</dcterms:modified>
</cp:coreProperties>
</file>