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545A2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545A2A" w:rsidRDefault="00545A2A"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F3784D" w:rsidRPr="00F3784D" w:rsidRDefault="00B236EF" w:rsidP="00F3784D">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353870">
        <w:rPr>
          <w:rFonts w:ascii="Arial" w:hAnsi="Arial" w:cs="Arial"/>
          <w:b/>
          <w:bCs/>
          <w:sz w:val="24"/>
        </w:rPr>
        <w:t>QUESTION</w:t>
      </w:r>
      <w:r w:rsidR="00C85DD8" w:rsidRPr="00353870">
        <w:rPr>
          <w:rFonts w:ascii="Arial" w:hAnsi="Arial" w:cs="Arial"/>
          <w:b/>
          <w:bCs/>
          <w:sz w:val="24"/>
        </w:rPr>
        <w:t xml:space="preserve"> N</w:t>
      </w:r>
      <w:r w:rsidR="00C85DD8" w:rsidRPr="00F20BA6">
        <w:rPr>
          <w:rFonts w:ascii="Arial" w:hAnsi="Arial" w:cs="Arial"/>
          <w:b/>
          <w:bCs/>
          <w:sz w:val="24"/>
        </w:rPr>
        <w:t>O</w:t>
      </w:r>
      <w:r w:rsidR="00D66290" w:rsidRPr="00F20BA6">
        <w:rPr>
          <w:rFonts w:ascii="Arial" w:hAnsi="Arial" w:cs="Arial"/>
          <w:b/>
          <w:bCs/>
          <w:sz w:val="24"/>
        </w:rPr>
        <w:t xml:space="preserve">. </w:t>
      </w:r>
      <w:r w:rsidR="00FD3D5D">
        <w:rPr>
          <w:rFonts w:ascii="Arial" w:eastAsia="Times New Roman" w:hAnsi="Arial" w:cs="Arial"/>
          <w:b/>
          <w:sz w:val="24"/>
          <w:szCs w:val="24"/>
          <w:lang w:val="en-US"/>
        </w:rPr>
        <w:t>2554</w:t>
      </w:r>
      <w:r w:rsidR="00F3784D" w:rsidRPr="00F3784D">
        <w:rPr>
          <w:rFonts w:ascii="Arial" w:eastAsia="Times New Roman" w:hAnsi="Arial" w:cs="Arial"/>
          <w:b/>
          <w:sz w:val="24"/>
          <w:szCs w:val="24"/>
          <w:lang w:val="en-US"/>
        </w:rPr>
        <w:tab/>
      </w:r>
    </w:p>
    <w:p w:rsidR="00F3784D" w:rsidRPr="00F3784D" w:rsidRDefault="00F3784D" w:rsidP="00F3784D">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F3784D">
        <w:rPr>
          <w:rFonts w:ascii="Arial" w:eastAsia="Times New Roman" w:hAnsi="Arial" w:cs="Arial"/>
          <w:b/>
          <w:sz w:val="24"/>
          <w:szCs w:val="24"/>
          <w:lang w:val="en-US"/>
        </w:rPr>
        <w:t xml:space="preserve">Mr. M J </w:t>
      </w:r>
      <w:r w:rsidRPr="00F3784D">
        <w:rPr>
          <w:rFonts w:ascii="Arial" w:hAnsi="Arial" w:cs="Arial"/>
          <w:b/>
          <w:sz w:val="24"/>
          <w:szCs w:val="24"/>
        </w:rPr>
        <w:t>Cuthbert</w:t>
      </w:r>
      <w:r w:rsidRPr="00F3784D">
        <w:rPr>
          <w:rFonts w:ascii="Arial" w:eastAsia="Times New Roman" w:hAnsi="Arial" w:cs="Arial"/>
          <w:b/>
          <w:sz w:val="24"/>
          <w:szCs w:val="24"/>
          <w:lang w:val="en-US"/>
        </w:rPr>
        <w:t xml:space="preserve"> (DA) to ask the Minister of Trade, Industry and </w:t>
      </w:r>
      <w:r w:rsidRPr="00F3784D">
        <w:rPr>
          <w:rFonts w:ascii="Arial" w:hAnsi="Arial" w:cs="Arial"/>
          <w:b/>
          <w:sz w:val="24"/>
          <w:szCs w:val="24"/>
          <w:lang w:val="en-US"/>
        </w:rPr>
        <w:t>Competition</w:t>
      </w:r>
      <w:r w:rsidR="00167C46" w:rsidRPr="00F3784D">
        <w:rPr>
          <w:rFonts w:ascii="Arial" w:hAnsi="Arial" w:cs="Arial"/>
          <w:b/>
          <w:sz w:val="24"/>
          <w:szCs w:val="24"/>
          <w:lang w:val="en-US"/>
        </w:rPr>
        <w:fldChar w:fldCharType="begin"/>
      </w:r>
      <w:r w:rsidRPr="00F3784D">
        <w:rPr>
          <w:rFonts w:ascii="Arial" w:hAnsi="Arial" w:cs="Arial"/>
        </w:rPr>
        <w:instrText xml:space="preserve"> XE "</w:instrText>
      </w:r>
      <w:r w:rsidRPr="00F3784D">
        <w:rPr>
          <w:rFonts w:ascii="Arial" w:eastAsia="Times New Roman" w:hAnsi="Arial" w:cs="Arial"/>
          <w:b/>
          <w:sz w:val="24"/>
          <w:szCs w:val="24"/>
          <w:lang w:val="en-US"/>
        </w:rPr>
        <w:instrText xml:space="preserve">Trade, Industry and </w:instrText>
      </w:r>
      <w:r w:rsidRPr="00F3784D">
        <w:rPr>
          <w:rFonts w:ascii="Arial" w:hAnsi="Arial" w:cs="Arial"/>
          <w:b/>
          <w:sz w:val="24"/>
          <w:szCs w:val="24"/>
          <w:lang w:val="en-US"/>
        </w:rPr>
        <w:instrText>Competition</w:instrText>
      </w:r>
      <w:r w:rsidRPr="00F3784D">
        <w:rPr>
          <w:rFonts w:ascii="Arial" w:hAnsi="Arial" w:cs="Arial"/>
        </w:rPr>
        <w:instrText xml:space="preserve">" </w:instrText>
      </w:r>
      <w:r w:rsidR="00167C46" w:rsidRPr="00F3784D">
        <w:rPr>
          <w:rFonts w:ascii="Arial" w:hAnsi="Arial" w:cs="Arial"/>
          <w:b/>
          <w:sz w:val="24"/>
          <w:szCs w:val="24"/>
          <w:lang w:val="en-US"/>
        </w:rPr>
        <w:fldChar w:fldCharType="end"/>
      </w:r>
      <w:r w:rsidRPr="00F3784D">
        <w:rPr>
          <w:rFonts w:ascii="Arial" w:eastAsia="Times New Roman" w:hAnsi="Arial" w:cs="Arial"/>
          <w:b/>
          <w:sz w:val="24"/>
          <w:szCs w:val="24"/>
          <w:lang w:val="en-US"/>
        </w:rPr>
        <w:t>:</w:t>
      </w:r>
    </w:p>
    <w:p w:rsidR="00F3784D" w:rsidRPr="00F3784D" w:rsidRDefault="00F3784D" w:rsidP="00F3784D">
      <w:pPr>
        <w:spacing w:before="100" w:beforeAutospacing="1" w:after="100" w:afterAutospacing="1" w:line="240" w:lineRule="auto"/>
        <w:ind w:left="720" w:hanging="720"/>
        <w:jc w:val="both"/>
        <w:rPr>
          <w:rFonts w:ascii="Arial" w:hAnsi="Arial" w:cs="Arial"/>
          <w:sz w:val="24"/>
          <w:szCs w:val="24"/>
        </w:rPr>
      </w:pPr>
      <w:r w:rsidRPr="00F3784D">
        <w:rPr>
          <w:rFonts w:ascii="Arial" w:hAnsi="Arial" w:cs="Arial"/>
          <w:sz w:val="24"/>
          <w:szCs w:val="24"/>
        </w:rPr>
        <w:t>(1)</w:t>
      </w:r>
      <w:r w:rsidRPr="00F3784D">
        <w:rPr>
          <w:rFonts w:ascii="Arial" w:hAnsi="Arial" w:cs="Arial"/>
          <w:sz w:val="24"/>
          <w:szCs w:val="24"/>
        </w:rPr>
        <w:tab/>
        <w:t xml:space="preserve">What are the reasons that the </w:t>
      </w:r>
      <w:r w:rsidRPr="00F3784D">
        <w:rPr>
          <w:rFonts w:ascii="Arial" w:eastAsia="Times New Roman" w:hAnsi="Arial" w:cs="Arial"/>
          <w:color w:val="000000"/>
          <w:sz w:val="24"/>
          <w:szCs w:val="24"/>
          <w:lang w:val="en-US" w:eastAsia="en-ZA"/>
        </w:rPr>
        <w:t xml:space="preserve">National Lotteries Commission (NLC) is </w:t>
      </w:r>
      <w:r w:rsidRPr="00F3784D">
        <w:rPr>
          <w:rFonts w:ascii="Arial" w:hAnsi="Arial" w:cs="Arial"/>
          <w:sz w:val="24"/>
          <w:szCs w:val="24"/>
        </w:rPr>
        <w:t>holding such large investments at a time when it is receiving less funds for disbursement to good causes;</w:t>
      </w:r>
    </w:p>
    <w:p w:rsidR="00F3784D" w:rsidRPr="00F3784D" w:rsidRDefault="00F3784D" w:rsidP="00F3784D">
      <w:pPr>
        <w:spacing w:before="100" w:beforeAutospacing="1" w:after="100" w:afterAutospacing="1" w:line="240" w:lineRule="auto"/>
        <w:ind w:left="720" w:hanging="720"/>
        <w:jc w:val="both"/>
        <w:rPr>
          <w:rFonts w:ascii="Arial" w:hAnsi="Arial" w:cs="Arial"/>
          <w:sz w:val="24"/>
          <w:szCs w:val="24"/>
        </w:rPr>
      </w:pPr>
      <w:r w:rsidRPr="00F3784D">
        <w:rPr>
          <w:rFonts w:ascii="Arial" w:hAnsi="Arial" w:cs="Arial"/>
          <w:sz w:val="24"/>
          <w:szCs w:val="24"/>
        </w:rPr>
        <w:t>(2)</w:t>
      </w:r>
      <w:r w:rsidRPr="00F3784D">
        <w:rPr>
          <w:rFonts w:ascii="Arial" w:hAnsi="Arial" w:cs="Arial"/>
          <w:sz w:val="24"/>
          <w:szCs w:val="24"/>
        </w:rPr>
        <w:tab/>
        <w:t>whether he will furnish Mr M J Cuthbert with a list detailing (a) with whom is each investment and (b) the type of each investments; if not, why not; if so,</w:t>
      </w:r>
    </w:p>
    <w:p w:rsidR="00F3784D" w:rsidRDefault="00F3784D" w:rsidP="00F3784D">
      <w:pPr>
        <w:spacing w:before="100" w:beforeAutospacing="1" w:after="100" w:afterAutospacing="1" w:line="240" w:lineRule="auto"/>
        <w:ind w:left="720" w:hanging="720"/>
        <w:jc w:val="both"/>
        <w:rPr>
          <w:rFonts w:ascii="Arial" w:eastAsia="Times New Roman" w:hAnsi="Arial" w:cs="Arial"/>
          <w:sz w:val="20"/>
          <w:szCs w:val="20"/>
          <w:lang w:val="en-US"/>
        </w:rPr>
      </w:pPr>
      <w:r w:rsidRPr="00F3784D">
        <w:rPr>
          <w:rFonts w:ascii="Arial" w:hAnsi="Arial" w:cs="Arial"/>
          <w:sz w:val="24"/>
          <w:szCs w:val="24"/>
        </w:rPr>
        <w:t>(3)</w:t>
      </w:r>
      <w:r w:rsidRPr="00F3784D">
        <w:rPr>
          <w:rFonts w:ascii="Arial" w:hAnsi="Arial" w:cs="Arial"/>
          <w:sz w:val="24"/>
          <w:szCs w:val="24"/>
        </w:rPr>
        <w:tab/>
        <w:t>what (a) total number of different investments make up the NLC’s total investments and (b) is the period of each specified investment</w:t>
      </w:r>
      <w:r w:rsidRPr="00F3784D">
        <w:rPr>
          <w:rFonts w:ascii="Arial" w:eastAsia="Times New Roman" w:hAnsi="Arial" w:cs="Arial"/>
          <w:sz w:val="24"/>
          <w:szCs w:val="24"/>
        </w:rPr>
        <w:t>?</w:t>
      </w:r>
      <w:r w:rsidRPr="00CF69DA">
        <w:rPr>
          <w:rFonts w:ascii="Arial" w:eastAsia="Times New Roman" w:hAnsi="Arial" w:cs="Arial"/>
          <w:szCs w:val="20"/>
          <w:lang w:val="en-US"/>
        </w:rPr>
        <w:t>NW3225E</w:t>
      </w:r>
    </w:p>
    <w:p w:rsidR="00D90414" w:rsidRPr="00D90414" w:rsidRDefault="00D90414" w:rsidP="00F3784D">
      <w:pPr>
        <w:spacing w:before="100" w:beforeAutospacing="1" w:after="100" w:afterAutospacing="1" w:line="240" w:lineRule="auto"/>
        <w:ind w:left="720" w:hanging="720"/>
        <w:jc w:val="both"/>
        <w:rPr>
          <w:rFonts w:ascii="Arial" w:eastAsia="Times New Roman" w:hAnsi="Arial" w:cs="Arial"/>
          <w:sz w:val="24"/>
          <w:szCs w:val="24"/>
          <w:lang w:val="en-US"/>
        </w:rPr>
      </w:pPr>
    </w:p>
    <w:p w:rsidR="00432417" w:rsidRDefault="00545A2A"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545A2A" w:rsidRDefault="00545A2A" w:rsidP="00545A2A">
      <w:pPr>
        <w:spacing w:before="100" w:beforeAutospacing="1" w:after="100" w:afterAutospacing="1" w:line="240" w:lineRule="auto"/>
        <w:jc w:val="both"/>
        <w:outlineLvl w:val="0"/>
        <w:rPr>
          <w:rFonts w:ascii="Arial" w:eastAsia="Times New Roman" w:hAnsi="Arial" w:cs="Arial"/>
          <w:bCs/>
          <w:sz w:val="24"/>
          <w:szCs w:val="24"/>
          <w:lang w:val="en-US"/>
        </w:rPr>
      </w:pPr>
      <w:r w:rsidRPr="00782096">
        <w:rPr>
          <w:rFonts w:ascii="Arial" w:eastAsia="Times New Roman" w:hAnsi="Arial" w:cs="Arial"/>
          <w:bCs/>
          <w:sz w:val="24"/>
          <w:szCs w:val="24"/>
          <w:lang w:val="en-US"/>
        </w:rPr>
        <w:t>I have been furnished with a reply to the question submitted, by Ms Thabang Mampane, Commissioner of the National Lotteries Commission</w:t>
      </w:r>
      <w:r>
        <w:rPr>
          <w:rFonts w:ascii="Arial" w:eastAsia="Times New Roman" w:hAnsi="Arial" w:cs="Arial"/>
          <w:bCs/>
          <w:sz w:val="24"/>
          <w:szCs w:val="24"/>
          <w:lang w:val="en-US"/>
        </w:rPr>
        <w:t>, which is set out below.</w:t>
      </w:r>
      <w:r w:rsidR="00C940F0">
        <w:rPr>
          <w:rFonts w:ascii="Arial" w:eastAsia="Times New Roman" w:hAnsi="Arial" w:cs="Arial"/>
          <w:bCs/>
          <w:sz w:val="24"/>
          <w:szCs w:val="24"/>
          <w:lang w:val="en-US"/>
        </w:rPr>
        <w:t xml:space="preserve"> In light of the challenges faced by many South Africans as a result of the coronavirus pandemic, I will be requesting a review of the reserves policy.</w:t>
      </w:r>
    </w:p>
    <w:p w:rsidR="00C940F0" w:rsidRPr="00782096" w:rsidRDefault="00C940F0" w:rsidP="00545A2A">
      <w:pPr>
        <w:spacing w:before="100" w:beforeAutospacing="1" w:after="100" w:afterAutospacing="1" w:line="24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The reply of the NLC Commissioner follows: </w:t>
      </w:r>
    </w:p>
    <w:p w:rsidR="008D442B" w:rsidRPr="00C940F0" w:rsidRDefault="00C940F0" w:rsidP="008D442B">
      <w:pPr>
        <w:pStyle w:val="ListParagraph"/>
        <w:numPr>
          <w:ilvl w:val="0"/>
          <w:numId w:val="37"/>
        </w:numPr>
        <w:spacing w:after="0" w:line="276" w:lineRule="auto"/>
        <w:jc w:val="both"/>
        <w:rPr>
          <w:rFonts w:ascii="Arial" w:hAnsi="Arial" w:cs="Arial"/>
          <w:bCs/>
          <w:i/>
          <w:iCs/>
          <w:sz w:val="24"/>
          <w:szCs w:val="24"/>
        </w:rPr>
      </w:pPr>
      <w:r w:rsidRPr="00C940F0">
        <w:rPr>
          <w:rFonts w:ascii="Arial" w:hAnsi="Arial" w:cs="Arial"/>
          <w:bCs/>
          <w:i/>
          <w:iCs/>
          <w:sz w:val="24"/>
          <w:szCs w:val="24"/>
        </w:rPr>
        <w:t>“</w:t>
      </w:r>
      <w:r w:rsidR="008D442B" w:rsidRPr="00C940F0">
        <w:rPr>
          <w:rFonts w:ascii="Arial" w:hAnsi="Arial" w:cs="Arial"/>
          <w:bCs/>
          <w:i/>
          <w:iCs/>
          <w:sz w:val="24"/>
          <w:szCs w:val="24"/>
        </w:rPr>
        <w:t xml:space="preserve">The National Lotteries Commission is a Public Finance Management Act, Act 1 of 1999, Schedule 3A entity. The NLC was established with the primary mandate of regulating lotteries and sports pools. From that regulatory activity, the NLC is enabled to distribute funds destined for good causes. </w:t>
      </w:r>
    </w:p>
    <w:p w:rsidR="008D442B" w:rsidRPr="00C940F0" w:rsidRDefault="008D442B" w:rsidP="008D442B">
      <w:pPr>
        <w:pStyle w:val="ListParagraph"/>
        <w:spacing w:after="0" w:line="276" w:lineRule="auto"/>
        <w:ind w:left="360"/>
        <w:jc w:val="both"/>
        <w:rPr>
          <w:rFonts w:ascii="Arial" w:hAnsi="Arial" w:cs="Arial"/>
          <w:bCs/>
          <w:i/>
          <w:iCs/>
          <w:sz w:val="24"/>
          <w:szCs w:val="24"/>
        </w:rPr>
      </w:pPr>
    </w:p>
    <w:p w:rsidR="008D442B" w:rsidRPr="00C940F0" w:rsidRDefault="008D442B" w:rsidP="008D442B">
      <w:pPr>
        <w:spacing w:after="0" w:line="276" w:lineRule="auto"/>
        <w:ind w:left="360"/>
        <w:jc w:val="both"/>
        <w:rPr>
          <w:rFonts w:ascii="Arial" w:hAnsi="Arial" w:cs="Arial"/>
          <w:bCs/>
          <w:i/>
          <w:iCs/>
          <w:sz w:val="24"/>
          <w:szCs w:val="24"/>
        </w:rPr>
      </w:pPr>
      <w:r w:rsidRPr="00C940F0">
        <w:rPr>
          <w:rFonts w:ascii="Arial" w:hAnsi="Arial" w:cs="Arial"/>
          <w:bCs/>
          <w:i/>
          <w:iCs/>
          <w:sz w:val="24"/>
          <w:szCs w:val="24"/>
        </w:rPr>
        <w:t xml:space="preserve">The NLC does not receive funding from the fiscus. The main source of revenue is derived from the share of National Lottery ticket sales from the Operator. The investments (that is, reserves) aim to sustain the operations of the organization during Licence transitions where revenue received from the National Lottery Operator is low as observed in the previous two licenses. Also in instances where the Operator may not operate. The reserves will supplement the grant allocations </w:t>
      </w:r>
      <w:r w:rsidRPr="00C940F0">
        <w:rPr>
          <w:rFonts w:ascii="Arial" w:hAnsi="Arial" w:cs="Arial"/>
          <w:bCs/>
          <w:i/>
          <w:iCs/>
          <w:sz w:val="24"/>
          <w:szCs w:val="24"/>
        </w:rPr>
        <w:lastRenderedPageBreak/>
        <w:t xml:space="preserve">for good causes and the operational costs of the organisation for a period of twelve (12) months in instances where there is no revenue flowing into the organisation. This will ensure that the NLC continues to deliver on its mandate. </w:t>
      </w:r>
    </w:p>
    <w:p w:rsidR="008D442B" w:rsidRPr="00C940F0" w:rsidRDefault="008D442B" w:rsidP="008D442B">
      <w:pPr>
        <w:spacing w:after="0" w:line="276" w:lineRule="auto"/>
        <w:ind w:left="360"/>
        <w:jc w:val="both"/>
        <w:rPr>
          <w:rFonts w:ascii="Arial" w:hAnsi="Arial" w:cs="Arial"/>
          <w:bCs/>
          <w:i/>
          <w:iCs/>
          <w:sz w:val="24"/>
          <w:szCs w:val="24"/>
        </w:rPr>
      </w:pPr>
    </w:p>
    <w:p w:rsidR="008D442B" w:rsidRPr="00C940F0" w:rsidRDefault="008D442B" w:rsidP="008D442B">
      <w:pPr>
        <w:spacing w:after="0" w:line="276" w:lineRule="auto"/>
        <w:ind w:left="360"/>
        <w:jc w:val="both"/>
        <w:rPr>
          <w:rFonts w:ascii="Arial" w:hAnsi="Arial" w:cs="Arial"/>
          <w:bCs/>
          <w:i/>
          <w:iCs/>
          <w:sz w:val="24"/>
          <w:szCs w:val="24"/>
        </w:rPr>
      </w:pPr>
      <w:r w:rsidRPr="00C940F0">
        <w:rPr>
          <w:rFonts w:ascii="Arial" w:hAnsi="Arial" w:cs="Arial"/>
          <w:bCs/>
          <w:i/>
          <w:iCs/>
          <w:sz w:val="24"/>
          <w:szCs w:val="24"/>
        </w:rPr>
        <w:t xml:space="preserve">Section 25 of the Lotteries Act allows the NLC to invest any money which is not required for immediate allocation. Investment income diversifies the organization’s Revenue and mitigates the risk of a single source of revenue derived from a share of National Lottery ticket sales. Investment income therefore significantly contributes towards funding the operational expenditure of the organisation, consequently the NLC is able to maximize contribution to fund good causes through grant allocations.  </w:t>
      </w:r>
    </w:p>
    <w:p w:rsidR="008D442B" w:rsidRPr="00C940F0" w:rsidRDefault="008D442B" w:rsidP="008D442B">
      <w:pPr>
        <w:pStyle w:val="ListParagraph"/>
        <w:spacing w:after="0" w:line="276" w:lineRule="auto"/>
        <w:ind w:left="360"/>
        <w:jc w:val="both"/>
        <w:rPr>
          <w:rFonts w:ascii="Arial" w:hAnsi="Arial" w:cs="Arial"/>
          <w:bCs/>
          <w:i/>
          <w:iCs/>
          <w:sz w:val="24"/>
          <w:szCs w:val="24"/>
        </w:rPr>
      </w:pPr>
    </w:p>
    <w:p w:rsidR="00F3784D" w:rsidRPr="00C940F0" w:rsidRDefault="008D442B" w:rsidP="008D442B">
      <w:pPr>
        <w:pStyle w:val="ListParagraph"/>
        <w:numPr>
          <w:ilvl w:val="0"/>
          <w:numId w:val="37"/>
        </w:numPr>
        <w:spacing w:after="0" w:line="276" w:lineRule="auto"/>
        <w:jc w:val="both"/>
        <w:rPr>
          <w:rFonts w:ascii="Arial" w:hAnsi="Arial" w:cs="Arial"/>
          <w:bCs/>
          <w:i/>
          <w:iCs/>
          <w:sz w:val="24"/>
          <w:szCs w:val="24"/>
        </w:rPr>
      </w:pPr>
      <w:r w:rsidRPr="00C940F0">
        <w:rPr>
          <w:rFonts w:ascii="Arial" w:hAnsi="Arial" w:cs="Arial"/>
          <w:bCs/>
          <w:i/>
          <w:iCs/>
          <w:sz w:val="24"/>
          <w:szCs w:val="24"/>
        </w:rPr>
        <w:t>and (3) During the 2019/20 financial year, the NLC had only one investment with Rand Merchant Bank which had an initial investment period of five years. The investment has subsequently matured and the NLC is in the process of re-investing.</w:t>
      </w:r>
      <w:r w:rsidR="00C940F0" w:rsidRPr="00C940F0">
        <w:rPr>
          <w:rFonts w:ascii="Arial" w:hAnsi="Arial" w:cs="Arial"/>
          <w:bCs/>
          <w:i/>
          <w:iCs/>
          <w:sz w:val="24"/>
          <w:szCs w:val="24"/>
        </w:rPr>
        <w:t>”</w:t>
      </w:r>
    </w:p>
    <w:p w:rsidR="00F3784D" w:rsidRDefault="00F3784D" w:rsidP="002150F1">
      <w:pPr>
        <w:spacing w:after="0" w:line="360" w:lineRule="auto"/>
        <w:ind w:left="567" w:hanging="567"/>
        <w:jc w:val="center"/>
        <w:rPr>
          <w:rFonts w:ascii="Arial" w:hAnsi="Arial" w:cs="Arial"/>
          <w:b/>
          <w:bCs/>
          <w:sz w:val="24"/>
          <w:szCs w:val="24"/>
        </w:rPr>
      </w:pPr>
    </w:p>
    <w:p w:rsidR="00BC7558" w:rsidRDefault="00BC7558" w:rsidP="00D13244">
      <w:pPr>
        <w:spacing w:line="259" w:lineRule="auto"/>
        <w:rPr>
          <w:rFonts w:ascii="Arial" w:hAnsi="Arial" w:cs="Arial"/>
          <w:b/>
          <w:sz w:val="24"/>
          <w:szCs w:val="24"/>
        </w:rPr>
      </w:pPr>
    </w:p>
    <w:p w:rsidR="00EA5109" w:rsidRPr="00B236EF" w:rsidRDefault="000F3E68" w:rsidP="000F3E68">
      <w:pPr>
        <w:spacing w:after="0" w:line="360" w:lineRule="auto"/>
        <w:jc w:val="center"/>
        <w:rPr>
          <w:rFonts w:ascii="Arial" w:eastAsia="Calibri" w:hAnsi="Arial" w:cs="Arial"/>
          <w:b/>
          <w:bCs/>
          <w:sz w:val="24"/>
          <w:szCs w:val="24"/>
        </w:rPr>
      </w:pPr>
      <w:r>
        <w:rPr>
          <w:rFonts w:ascii="Arial" w:hAnsi="Arial" w:cs="Arial"/>
          <w:b/>
          <w:bCs/>
          <w:sz w:val="24"/>
          <w:szCs w:val="24"/>
        </w:rPr>
        <w:t>-END-</w:t>
      </w:r>
      <w:bookmarkStart w:id="0" w:name="_GoBack"/>
      <w:bookmarkEnd w:id="0"/>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4E" w:rsidRDefault="006F474E" w:rsidP="006D054B">
      <w:pPr>
        <w:spacing w:after="0" w:line="240" w:lineRule="auto"/>
      </w:pPr>
      <w:r>
        <w:separator/>
      </w:r>
    </w:p>
  </w:endnote>
  <w:endnote w:type="continuationSeparator" w:id="1">
    <w:p w:rsidR="006F474E" w:rsidRDefault="006F474E"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167C46">
        <w:pPr>
          <w:pStyle w:val="Footer"/>
          <w:jc w:val="center"/>
        </w:pPr>
        <w:r>
          <w:fldChar w:fldCharType="begin"/>
        </w:r>
        <w:r w:rsidR="00C90387">
          <w:instrText xml:space="preserve"> PAGE   \* MERGEFORMAT </w:instrText>
        </w:r>
        <w:r>
          <w:fldChar w:fldCharType="separate"/>
        </w:r>
        <w:r w:rsidR="0090036B">
          <w:rPr>
            <w:noProof/>
          </w:rPr>
          <w:t>1</w:t>
        </w:r>
        <w:r>
          <w:rPr>
            <w:noProof/>
          </w:rPr>
          <w:fldChar w:fldCharType="end"/>
        </w:r>
      </w:p>
    </w:sdtContent>
  </w:sdt>
  <w:p w:rsidR="00C90387" w:rsidRDefault="00B70823" w:rsidP="00C90387">
    <w:pPr>
      <w:pStyle w:val="Footer"/>
      <w:jc w:val="center"/>
    </w:pPr>
    <w:r>
      <w:t>Parliamentary Question</w:t>
    </w:r>
    <w:r w:rsidR="00450499">
      <w:t>: NA PQ 2</w:t>
    </w:r>
    <w:r w:rsidR="00F3784D">
      <w:t>5</w:t>
    </w:r>
    <w:r w:rsidR="00F20BA6">
      <w:t>5</w:t>
    </w:r>
    <w:r w:rsidR="00F3784D">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4E" w:rsidRDefault="006F474E" w:rsidP="006D054B">
      <w:pPr>
        <w:spacing w:after="0" w:line="240" w:lineRule="auto"/>
      </w:pPr>
      <w:r>
        <w:separator/>
      </w:r>
    </w:p>
  </w:footnote>
  <w:footnote w:type="continuationSeparator" w:id="1">
    <w:p w:rsidR="006F474E" w:rsidRDefault="006F474E"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2"/>
  </w:num>
  <w:num w:numId="2">
    <w:abstractNumId w:val="32"/>
  </w:num>
  <w:num w:numId="3">
    <w:abstractNumId w:val="21"/>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6"/>
  </w:num>
  <w:num w:numId="8">
    <w:abstractNumId w:val="26"/>
  </w:num>
  <w:num w:numId="9">
    <w:abstractNumId w:val="20"/>
  </w:num>
  <w:num w:numId="10">
    <w:abstractNumId w:val="1"/>
  </w:num>
  <w:num w:numId="11">
    <w:abstractNumId w:val="16"/>
  </w:num>
  <w:num w:numId="12">
    <w:abstractNumId w:val="22"/>
  </w:num>
  <w:num w:numId="13">
    <w:abstractNumId w:val="30"/>
  </w:num>
  <w:num w:numId="14">
    <w:abstractNumId w:val="14"/>
  </w:num>
  <w:num w:numId="15">
    <w:abstractNumId w:val="4"/>
  </w:num>
  <w:num w:numId="16">
    <w:abstractNumId w:val="15"/>
  </w:num>
  <w:num w:numId="17">
    <w:abstractNumId w:val="24"/>
  </w:num>
  <w:num w:numId="18">
    <w:abstractNumId w:val="19"/>
  </w:num>
  <w:num w:numId="19">
    <w:abstractNumId w:val="23"/>
  </w:num>
  <w:num w:numId="20">
    <w:abstractNumId w:val="2"/>
  </w:num>
  <w:num w:numId="21">
    <w:abstractNumId w:val="28"/>
  </w:num>
  <w:num w:numId="22">
    <w:abstractNumId w:val="13"/>
  </w:num>
  <w:num w:numId="23">
    <w:abstractNumId w:val="17"/>
  </w:num>
  <w:num w:numId="24">
    <w:abstractNumId w:val="10"/>
  </w:num>
  <w:num w:numId="25">
    <w:abstractNumId w:val="11"/>
  </w:num>
  <w:num w:numId="26">
    <w:abstractNumId w:val="5"/>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1"/>
  </w:num>
  <w:num w:numId="32">
    <w:abstractNumId w:val="34"/>
  </w:num>
  <w:num w:numId="33">
    <w:abstractNumId w:val="27"/>
  </w:num>
  <w:num w:numId="34">
    <w:abstractNumId w:val="18"/>
  </w:num>
  <w:num w:numId="35">
    <w:abstractNumId w:val="8"/>
  </w:num>
  <w:num w:numId="36">
    <w:abstractNumId w:val="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467"/>
    <w:rsid w:val="000148F3"/>
    <w:rsid w:val="00030EF0"/>
    <w:rsid w:val="0003191E"/>
    <w:rsid w:val="00031D1F"/>
    <w:rsid w:val="00041805"/>
    <w:rsid w:val="00046D78"/>
    <w:rsid w:val="0006536D"/>
    <w:rsid w:val="00071E10"/>
    <w:rsid w:val="000B0517"/>
    <w:rsid w:val="000B2DB1"/>
    <w:rsid w:val="000C4638"/>
    <w:rsid w:val="000D3BB4"/>
    <w:rsid w:val="000D608B"/>
    <w:rsid w:val="000F3E68"/>
    <w:rsid w:val="000F730D"/>
    <w:rsid w:val="00130895"/>
    <w:rsid w:val="001442F0"/>
    <w:rsid w:val="0016019E"/>
    <w:rsid w:val="001602E3"/>
    <w:rsid w:val="00167C46"/>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31194"/>
    <w:rsid w:val="00332C21"/>
    <w:rsid w:val="00336052"/>
    <w:rsid w:val="00342A59"/>
    <w:rsid w:val="00351BDA"/>
    <w:rsid w:val="00353870"/>
    <w:rsid w:val="00355851"/>
    <w:rsid w:val="003632E6"/>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50499"/>
    <w:rsid w:val="00484CF4"/>
    <w:rsid w:val="00493614"/>
    <w:rsid w:val="004B2BE0"/>
    <w:rsid w:val="004C432F"/>
    <w:rsid w:val="004D0F02"/>
    <w:rsid w:val="004D7EE7"/>
    <w:rsid w:val="004E2E71"/>
    <w:rsid w:val="004F21E0"/>
    <w:rsid w:val="004F429F"/>
    <w:rsid w:val="004F6E62"/>
    <w:rsid w:val="0051724E"/>
    <w:rsid w:val="00522CB2"/>
    <w:rsid w:val="00526B52"/>
    <w:rsid w:val="00532838"/>
    <w:rsid w:val="005401FB"/>
    <w:rsid w:val="00545A2A"/>
    <w:rsid w:val="00546254"/>
    <w:rsid w:val="0054791A"/>
    <w:rsid w:val="00556367"/>
    <w:rsid w:val="005624DD"/>
    <w:rsid w:val="00567F57"/>
    <w:rsid w:val="00575A3A"/>
    <w:rsid w:val="00585078"/>
    <w:rsid w:val="0058630C"/>
    <w:rsid w:val="00597203"/>
    <w:rsid w:val="005A5FEE"/>
    <w:rsid w:val="005C3727"/>
    <w:rsid w:val="005D0895"/>
    <w:rsid w:val="005D3B6A"/>
    <w:rsid w:val="005E30FD"/>
    <w:rsid w:val="006212FC"/>
    <w:rsid w:val="00622A03"/>
    <w:rsid w:val="00630075"/>
    <w:rsid w:val="00640078"/>
    <w:rsid w:val="00640E3F"/>
    <w:rsid w:val="006420D0"/>
    <w:rsid w:val="006445D1"/>
    <w:rsid w:val="00645F45"/>
    <w:rsid w:val="006539A0"/>
    <w:rsid w:val="006753CF"/>
    <w:rsid w:val="006847A1"/>
    <w:rsid w:val="0068622F"/>
    <w:rsid w:val="006932B2"/>
    <w:rsid w:val="00694349"/>
    <w:rsid w:val="006B0FE2"/>
    <w:rsid w:val="006B1132"/>
    <w:rsid w:val="006C6F31"/>
    <w:rsid w:val="006D054B"/>
    <w:rsid w:val="006D0D2E"/>
    <w:rsid w:val="006E5CFB"/>
    <w:rsid w:val="006F474E"/>
    <w:rsid w:val="00707C88"/>
    <w:rsid w:val="0072078E"/>
    <w:rsid w:val="007477F1"/>
    <w:rsid w:val="00755CC6"/>
    <w:rsid w:val="00761225"/>
    <w:rsid w:val="00764318"/>
    <w:rsid w:val="0078637F"/>
    <w:rsid w:val="007874E8"/>
    <w:rsid w:val="00792751"/>
    <w:rsid w:val="007A39A1"/>
    <w:rsid w:val="007B14C3"/>
    <w:rsid w:val="007B412F"/>
    <w:rsid w:val="007B7DA8"/>
    <w:rsid w:val="007D1596"/>
    <w:rsid w:val="007D1D58"/>
    <w:rsid w:val="007D2A4F"/>
    <w:rsid w:val="007F37C9"/>
    <w:rsid w:val="007F5435"/>
    <w:rsid w:val="00803209"/>
    <w:rsid w:val="00833E81"/>
    <w:rsid w:val="00841350"/>
    <w:rsid w:val="008528EA"/>
    <w:rsid w:val="00853BDC"/>
    <w:rsid w:val="00855ABA"/>
    <w:rsid w:val="008634FA"/>
    <w:rsid w:val="00891DBB"/>
    <w:rsid w:val="00892467"/>
    <w:rsid w:val="00894F69"/>
    <w:rsid w:val="008A31A0"/>
    <w:rsid w:val="008A796E"/>
    <w:rsid w:val="008D06C0"/>
    <w:rsid w:val="008D442B"/>
    <w:rsid w:val="008F2BF5"/>
    <w:rsid w:val="008F4320"/>
    <w:rsid w:val="0090036B"/>
    <w:rsid w:val="00911828"/>
    <w:rsid w:val="00916351"/>
    <w:rsid w:val="0093226B"/>
    <w:rsid w:val="00936D98"/>
    <w:rsid w:val="009433BE"/>
    <w:rsid w:val="0094388C"/>
    <w:rsid w:val="00962A53"/>
    <w:rsid w:val="009644E4"/>
    <w:rsid w:val="00970287"/>
    <w:rsid w:val="009910BC"/>
    <w:rsid w:val="0099215A"/>
    <w:rsid w:val="009A0FF0"/>
    <w:rsid w:val="009C25E2"/>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81AFD"/>
    <w:rsid w:val="00A8329E"/>
    <w:rsid w:val="00A84F6F"/>
    <w:rsid w:val="00A922E1"/>
    <w:rsid w:val="00AB1371"/>
    <w:rsid w:val="00AB27A3"/>
    <w:rsid w:val="00AB6763"/>
    <w:rsid w:val="00AC2D13"/>
    <w:rsid w:val="00AC42AA"/>
    <w:rsid w:val="00AD1369"/>
    <w:rsid w:val="00AD419F"/>
    <w:rsid w:val="00AD5816"/>
    <w:rsid w:val="00AD5AE5"/>
    <w:rsid w:val="00AD6A29"/>
    <w:rsid w:val="00AD7FCF"/>
    <w:rsid w:val="00AE418E"/>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70E"/>
    <w:rsid w:val="00C940F0"/>
    <w:rsid w:val="00CC0725"/>
    <w:rsid w:val="00CC7044"/>
    <w:rsid w:val="00CD0132"/>
    <w:rsid w:val="00CF69DA"/>
    <w:rsid w:val="00D02EE1"/>
    <w:rsid w:val="00D13244"/>
    <w:rsid w:val="00D3539F"/>
    <w:rsid w:val="00D37942"/>
    <w:rsid w:val="00D410C1"/>
    <w:rsid w:val="00D462DD"/>
    <w:rsid w:val="00D52868"/>
    <w:rsid w:val="00D66290"/>
    <w:rsid w:val="00D722D0"/>
    <w:rsid w:val="00D75E12"/>
    <w:rsid w:val="00D81223"/>
    <w:rsid w:val="00D90414"/>
    <w:rsid w:val="00D906CA"/>
    <w:rsid w:val="00D93BDC"/>
    <w:rsid w:val="00D95D80"/>
    <w:rsid w:val="00D97348"/>
    <w:rsid w:val="00DA24F7"/>
    <w:rsid w:val="00DB464B"/>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C7AAB"/>
    <w:rsid w:val="00ED46F3"/>
    <w:rsid w:val="00EE05BB"/>
    <w:rsid w:val="00EE6E0C"/>
    <w:rsid w:val="00EF6351"/>
    <w:rsid w:val="00F04A3B"/>
    <w:rsid w:val="00F065DF"/>
    <w:rsid w:val="00F15796"/>
    <w:rsid w:val="00F20BA6"/>
    <w:rsid w:val="00F32232"/>
    <w:rsid w:val="00F3784D"/>
    <w:rsid w:val="00F51CB8"/>
    <w:rsid w:val="00F652B8"/>
    <w:rsid w:val="00F665B1"/>
    <w:rsid w:val="00F671DD"/>
    <w:rsid w:val="00F716B6"/>
    <w:rsid w:val="00F8074E"/>
    <w:rsid w:val="00F829BC"/>
    <w:rsid w:val="00F9020F"/>
    <w:rsid w:val="00FB765E"/>
    <w:rsid w:val="00FC3523"/>
    <w:rsid w:val="00FC3609"/>
    <w:rsid w:val="00FC502E"/>
    <w:rsid w:val="00FD0332"/>
    <w:rsid w:val="00FD1E8A"/>
    <w:rsid w:val="00FD3D5D"/>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8BC9-0AE8-4B1A-83C1-22D492A9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2020-11-27T19:59:00Z</dcterms:created>
  <dcterms:modified xsi:type="dcterms:W3CDTF">2020-11-27T19:59:00Z</dcterms:modified>
</cp:coreProperties>
</file>