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bookmarkStart w:id="3" w:name="_Hlk115291148"/>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5866A9" w:rsidRDefault="005C4707" w:rsidP="005C4707">
      <w:pPr>
        <w:spacing w:line="360" w:lineRule="auto"/>
        <w:jc w:val="center"/>
        <w:rPr>
          <w:rFonts w:ascii="Arial" w:hAnsi="Arial" w:cs="Arial"/>
          <w:b/>
          <w:sz w:val="22"/>
          <w:szCs w:val="22"/>
        </w:rPr>
      </w:pPr>
      <w:bookmarkStart w:id="4" w:name="_Hlk65832587"/>
      <w:bookmarkStart w:id="5" w:name="_Hlk55548705"/>
      <w:r w:rsidRPr="005866A9">
        <w:rPr>
          <w:rFonts w:ascii="Arial" w:hAnsi="Arial" w:cs="Arial"/>
          <w:b/>
          <w:sz w:val="22"/>
          <w:szCs w:val="22"/>
        </w:rPr>
        <w:t xml:space="preserve">QUESTION NUMBER: </w:t>
      </w:r>
      <w:bookmarkStart w:id="6" w:name="_Hlk34208942"/>
      <w:bookmarkStart w:id="7" w:name="_Hlk49113957"/>
      <w:r w:rsidR="00E27B1D" w:rsidRPr="00E27B1D">
        <w:rPr>
          <w:rFonts w:ascii="Arial" w:hAnsi="Arial" w:cs="Arial"/>
          <w:b/>
          <w:sz w:val="22"/>
          <w:szCs w:val="22"/>
        </w:rPr>
        <w:t>2546</w:t>
      </w:r>
      <w:r w:rsidR="005866A9" w:rsidRPr="005866A9">
        <w:rPr>
          <w:rFonts w:ascii="Arial" w:hAnsi="Arial" w:cs="Arial"/>
          <w:b/>
          <w:sz w:val="22"/>
          <w:szCs w:val="22"/>
        </w:rPr>
        <w:t xml:space="preserve"> </w:t>
      </w:r>
      <w:r w:rsidRPr="005866A9">
        <w:rPr>
          <w:rFonts w:ascii="Arial" w:hAnsi="Arial" w:cs="Arial"/>
          <w:b/>
          <w:sz w:val="22"/>
          <w:szCs w:val="22"/>
        </w:rPr>
        <w:t>[</w:t>
      </w:r>
      <w:r w:rsidR="00E27B1D" w:rsidRPr="00E27B1D">
        <w:rPr>
          <w:rFonts w:ascii="Arial" w:hAnsi="Arial" w:cs="Arial"/>
          <w:b/>
          <w:sz w:val="22"/>
          <w:szCs w:val="22"/>
        </w:rPr>
        <w:t>NW3051E</w:t>
      </w:r>
      <w:r w:rsidRPr="005866A9">
        <w:rPr>
          <w:rFonts w:ascii="Arial" w:hAnsi="Arial" w:cs="Arial"/>
          <w:b/>
          <w:sz w:val="22"/>
          <w:szCs w:val="22"/>
        </w:rPr>
        <w:t>]</w:t>
      </w:r>
      <w:bookmarkEnd w:id="6"/>
    </w:p>
    <w:p w:rsidR="005C4707" w:rsidRPr="00F94822" w:rsidRDefault="005C4707" w:rsidP="00F94822">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4"/>
      <w:bookmarkEnd w:id="5"/>
      <w:bookmarkEnd w:id="7"/>
      <w:r w:rsidR="005866A9" w:rsidRPr="005866A9">
        <w:rPr>
          <w:rFonts w:ascii="Arial" w:hAnsi="Arial" w:cs="Arial"/>
          <w:b/>
          <w:sz w:val="22"/>
          <w:szCs w:val="22"/>
        </w:rPr>
        <w:t>26 AUGUST 2022</w:t>
      </w:r>
    </w:p>
    <w:p w:rsidR="00E27B1D" w:rsidRPr="00E27B1D" w:rsidRDefault="00E27B1D" w:rsidP="00E27B1D">
      <w:pPr>
        <w:spacing w:before="100" w:beforeAutospacing="1" w:after="100" w:afterAutospacing="1"/>
        <w:ind w:left="540" w:right="26" w:hanging="540"/>
        <w:jc w:val="both"/>
        <w:rPr>
          <w:rFonts w:ascii="Arial" w:hAnsi="Arial" w:cs="Arial"/>
          <w:b/>
          <w:sz w:val="22"/>
          <w:szCs w:val="22"/>
        </w:rPr>
      </w:pPr>
      <w:r w:rsidRPr="00E27B1D">
        <w:rPr>
          <w:rFonts w:ascii="Arial" w:hAnsi="Arial" w:cs="Arial"/>
          <w:b/>
          <w:sz w:val="22"/>
          <w:szCs w:val="22"/>
          <w:lang w:val="en-GB"/>
        </w:rPr>
        <w:t>2546.</w:t>
      </w:r>
      <w:r w:rsidRPr="00E27B1D">
        <w:rPr>
          <w:rFonts w:ascii="Arial" w:hAnsi="Arial" w:cs="Arial"/>
          <w:b/>
          <w:sz w:val="22"/>
          <w:szCs w:val="22"/>
          <w:lang w:val="en-GB"/>
        </w:rPr>
        <w:tab/>
      </w:r>
      <w:r w:rsidRPr="00E27B1D">
        <w:rPr>
          <w:rFonts w:ascii="Arial" w:hAnsi="Arial" w:cs="Arial"/>
          <w:b/>
          <w:sz w:val="22"/>
          <w:szCs w:val="22"/>
          <w:lang w:val="af-ZA"/>
        </w:rPr>
        <w:t>Mr</w:t>
      </w:r>
      <w:r w:rsidRPr="00E27B1D">
        <w:rPr>
          <w:rFonts w:ascii="Arial" w:hAnsi="Arial" w:cs="Arial"/>
          <w:b/>
          <w:sz w:val="22"/>
          <w:szCs w:val="22"/>
        </w:rPr>
        <w:t xml:space="preserve"> K Ceza (EFF) to ask the Minister of Finance:</w:t>
      </w:r>
    </w:p>
    <w:bookmarkEnd w:id="3"/>
    <w:p w:rsidR="00E27B1D" w:rsidRPr="00CA1EAE" w:rsidRDefault="00E27B1D" w:rsidP="00E27B1D">
      <w:pPr>
        <w:spacing w:before="100" w:beforeAutospacing="1" w:after="100" w:afterAutospacing="1" w:line="276" w:lineRule="auto"/>
        <w:ind w:left="720" w:right="28"/>
        <w:jc w:val="both"/>
      </w:pPr>
      <w:r w:rsidRPr="00E27B1D">
        <w:rPr>
          <w:rFonts w:ascii="Arial" w:eastAsia="Calibri" w:hAnsi="Arial" w:cs="Arial"/>
          <w:sz w:val="22"/>
          <w:szCs w:val="22"/>
          <w:lang w:val="en-GB"/>
        </w:rPr>
        <w:t xml:space="preserve">What remedial action has been put in place by the National Treasury to ensure that government departments and/or businesses owing money to municipalities, make urgent payments to such </w:t>
      </w:r>
      <w:r w:rsidRPr="00E27B1D">
        <w:rPr>
          <w:rFonts w:ascii="Arial" w:hAnsi="Arial" w:cs="Arial"/>
          <w:sz w:val="22"/>
          <w:szCs w:val="22"/>
        </w:rPr>
        <w:t>municipalities</w:t>
      </w:r>
      <w:r w:rsidRPr="00E27B1D">
        <w:rPr>
          <w:rFonts w:ascii="Arial" w:eastAsia="Calibri" w:hAnsi="Arial" w:cs="Arial"/>
          <w:sz w:val="22"/>
          <w:szCs w:val="22"/>
          <w:lang w:val="en-GB"/>
        </w:rPr>
        <w:t>, in order to prevent the municipalities from experiencing liquidity and/or cash flow challenges</w:t>
      </w:r>
      <w:r w:rsidRPr="00E27B1D">
        <w:rPr>
          <w:rFonts w:ascii="Arial" w:hAnsi="Arial" w:cs="Arial"/>
          <w:sz w:val="22"/>
          <w:szCs w:val="22"/>
        </w:rPr>
        <w:t>?</w:t>
      </w:r>
      <w:r w:rsidRPr="00E27B1D">
        <w:rPr>
          <w:rFonts w:ascii="Arial" w:hAnsi="Arial" w:cs="Arial"/>
          <w:sz w:val="22"/>
          <w:szCs w:val="22"/>
        </w:rPr>
        <w:tab/>
      </w:r>
      <w:r>
        <w:tab/>
      </w:r>
      <w:r>
        <w:tab/>
      </w:r>
      <w:r>
        <w:tab/>
      </w:r>
      <w:r w:rsidRPr="00E27B1D">
        <w:rPr>
          <w:rFonts w:ascii="Arial" w:hAnsi="Arial" w:cs="Arial"/>
          <w:sz w:val="20"/>
          <w:szCs w:val="20"/>
        </w:rPr>
        <w:t>NW3051E</w:t>
      </w:r>
    </w:p>
    <w:p w:rsidR="005C4707" w:rsidRPr="00765B21" w:rsidRDefault="005C4707" w:rsidP="005C4707">
      <w:pPr>
        <w:ind w:right="26"/>
        <w:jc w:val="both"/>
      </w:pPr>
    </w:p>
    <w:p w:rsidR="005C4707" w:rsidRPr="005866A9" w:rsidRDefault="005C4707" w:rsidP="005C4707">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rsidR="003C105B" w:rsidRPr="00A92741" w:rsidRDefault="003C105B" w:rsidP="00B10CD3">
      <w:pPr>
        <w:shd w:val="clear" w:color="auto" w:fill="FFFFFF" w:themeFill="background1"/>
        <w:suppressAutoHyphens/>
        <w:autoSpaceDE w:val="0"/>
        <w:autoSpaceDN w:val="0"/>
        <w:adjustRightInd w:val="0"/>
        <w:spacing w:line="276" w:lineRule="auto"/>
        <w:jc w:val="both"/>
        <w:textAlignment w:val="center"/>
        <w:rPr>
          <w:rFonts w:ascii="Arial" w:hAnsi="Arial" w:cs="Arial"/>
          <w:color w:val="000000"/>
          <w:sz w:val="22"/>
          <w:szCs w:val="22"/>
        </w:rPr>
      </w:pPr>
      <w:r w:rsidRPr="00A92741">
        <w:rPr>
          <w:rFonts w:ascii="Arial" w:hAnsi="Arial" w:cs="Arial"/>
          <w:color w:val="000000"/>
          <w:sz w:val="22"/>
          <w:szCs w:val="22"/>
        </w:rPr>
        <w:t xml:space="preserve">National Treasury has encouraged municipalities to enforce </w:t>
      </w:r>
      <w:r w:rsidR="00C752C5" w:rsidRPr="00A92741">
        <w:rPr>
          <w:rFonts w:ascii="Arial" w:hAnsi="Arial" w:cs="Arial"/>
          <w:color w:val="000000"/>
          <w:sz w:val="22"/>
          <w:szCs w:val="22"/>
        </w:rPr>
        <w:t>its</w:t>
      </w:r>
      <w:r w:rsidRPr="00A92741">
        <w:rPr>
          <w:rFonts w:ascii="Arial" w:hAnsi="Arial" w:cs="Arial"/>
          <w:color w:val="000000"/>
          <w:sz w:val="22"/>
          <w:szCs w:val="22"/>
        </w:rPr>
        <w:t xml:space="preserve"> credit control </w:t>
      </w:r>
      <w:r w:rsidR="00C93089" w:rsidRPr="00A92741">
        <w:rPr>
          <w:rFonts w:ascii="Arial" w:hAnsi="Arial" w:cs="Arial"/>
          <w:color w:val="000000"/>
          <w:sz w:val="22"/>
          <w:szCs w:val="22"/>
        </w:rPr>
        <w:t xml:space="preserve">and debt management </w:t>
      </w:r>
      <w:r w:rsidRPr="00A92741">
        <w:rPr>
          <w:rFonts w:ascii="Arial" w:hAnsi="Arial" w:cs="Arial"/>
          <w:color w:val="000000"/>
          <w:sz w:val="22"/>
          <w:szCs w:val="22"/>
        </w:rPr>
        <w:t>policies and bylaws.</w:t>
      </w:r>
      <w:r w:rsidR="009A4CAE" w:rsidRPr="00A92741">
        <w:rPr>
          <w:rFonts w:ascii="Arial" w:hAnsi="Arial" w:cs="Arial"/>
          <w:color w:val="000000"/>
          <w:sz w:val="22"/>
          <w:szCs w:val="22"/>
        </w:rPr>
        <w:t xml:space="preserve">  This </w:t>
      </w:r>
      <w:r w:rsidR="00C752C5" w:rsidRPr="00A92741">
        <w:rPr>
          <w:rFonts w:ascii="Arial" w:hAnsi="Arial" w:cs="Arial"/>
          <w:color w:val="000000"/>
          <w:sz w:val="22"/>
          <w:szCs w:val="22"/>
        </w:rPr>
        <w:t>impl</w:t>
      </w:r>
      <w:r w:rsidR="00884E2D" w:rsidRPr="00A92741">
        <w:rPr>
          <w:rFonts w:ascii="Arial" w:hAnsi="Arial" w:cs="Arial"/>
          <w:color w:val="000000"/>
          <w:sz w:val="22"/>
          <w:szCs w:val="22"/>
        </w:rPr>
        <w:t>ies that</w:t>
      </w:r>
      <w:r w:rsidR="00C752C5" w:rsidRPr="00A92741">
        <w:rPr>
          <w:rFonts w:ascii="Arial" w:hAnsi="Arial" w:cs="Arial"/>
          <w:color w:val="000000"/>
          <w:sz w:val="22"/>
          <w:szCs w:val="22"/>
        </w:rPr>
        <w:t xml:space="preserve"> if any organ of state </w:t>
      </w:r>
      <w:r w:rsidR="00884E2D" w:rsidRPr="00A92741">
        <w:rPr>
          <w:rFonts w:ascii="Arial" w:hAnsi="Arial" w:cs="Arial"/>
          <w:color w:val="000000"/>
          <w:sz w:val="22"/>
          <w:szCs w:val="22"/>
        </w:rPr>
        <w:t xml:space="preserve">neglects to </w:t>
      </w:r>
      <w:r w:rsidR="00C752C5" w:rsidRPr="00A92741">
        <w:rPr>
          <w:rFonts w:ascii="Arial" w:hAnsi="Arial" w:cs="Arial"/>
          <w:color w:val="000000"/>
          <w:sz w:val="22"/>
          <w:szCs w:val="22"/>
        </w:rPr>
        <w:t xml:space="preserve">honor their </w:t>
      </w:r>
      <w:r w:rsidR="00884E2D" w:rsidRPr="00A92741">
        <w:rPr>
          <w:rFonts w:ascii="Arial" w:hAnsi="Arial" w:cs="Arial"/>
          <w:color w:val="000000"/>
          <w:sz w:val="22"/>
          <w:szCs w:val="22"/>
        </w:rPr>
        <w:t>payment arrangement</w:t>
      </w:r>
      <w:r w:rsidR="00305758" w:rsidRPr="00A92741">
        <w:rPr>
          <w:rFonts w:ascii="Arial" w:hAnsi="Arial" w:cs="Arial"/>
          <w:color w:val="000000"/>
          <w:sz w:val="22"/>
          <w:szCs w:val="22"/>
        </w:rPr>
        <w:t xml:space="preserve"> </w:t>
      </w:r>
      <w:r w:rsidR="00C752C5" w:rsidRPr="00A92741">
        <w:rPr>
          <w:rFonts w:ascii="Arial" w:hAnsi="Arial" w:cs="Arial"/>
          <w:color w:val="000000"/>
          <w:sz w:val="22"/>
          <w:szCs w:val="22"/>
        </w:rPr>
        <w:t xml:space="preserve">for services rendered </w:t>
      </w:r>
      <w:r w:rsidR="002742FA" w:rsidRPr="00A92741">
        <w:rPr>
          <w:rFonts w:ascii="Arial" w:hAnsi="Arial" w:cs="Arial"/>
          <w:color w:val="000000"/>
          <w:sz w:val="22"/>
          <w:szCs w:val="22"/>
        </w:rPr>
        <w:t xml:space="preserve">by municipalities </w:t>
      </w:r>
      <w:r w:rsidR="00884E2D" w:rsidRPr="00A92741">
        <w:rPr>
          <w:rFonts w:ascii="Arial" w:hAnsi="Arial" w:cs="Arial"/>
          <w:color w:val="000000"/>
          <w:sz w:val="22"/>
          <w:szCs w:val="22"/>
        </w:rPr>
        <w:t>within the legislative</w:t>
      </w:r>
      <w:r w:rsidR="00C752C5" w:rsidRPr="00A92741">
        <w:rPr>
          <w:rFonts w:ascii="Arial" w:hAnsi="Arial" w:cs="Arial"/>
          <w:color w:val="000000"/>
          <w:sz w:val="22"/>
          <w:szCs w:val="22"/>
        </w:rPr>
        <w:t xml:space="preserve"> </w:t>
      </w:r>
      <w:r w:rsidR="00884E2D" w:rsidRPr="00A92741">
        <w:rPr>
          <w:rFonts w:ascii="Arial" w:hAnsi="Arial" w:cs="Arial"/>
          <w:color w:val="000000"/>
          <w:sz w:val="22"/>
          <w:szCs w:val="22"/>
        </w:rPr>
        <w:t>timeframe</w:t>
      </w:r>
      <w:r w:rsidR="00C752C5" w:rsidRPr="00A92741">
        <w:rPr>
          <w:rFonts w:ascii="Arial" w:hAnsi="Arial" w:cs="Arial"/>
          <w:color w:val="000000"/>
          <w:sz w:val="22"/>
          <w:szCs w:val="22"/>
        </w:rPr>
        <w:t xml:space="preserve"> of 30 days as per the PFMA and MFMA, </w:t>
      </w:r>
      <w:r w:rsidR="00884E2D" w:rsidRPr="00A92741">
        <w:rPr>
          <w:rFonts w:ascii="Arial" w:hAnsi="Arial" w:cs="Arial"/>
          <w:color w:val="000000"/>
          <w:sz w:val="22"/>
          <w:szCs w:val="22"/>
        </w:rPr>
        <w:t xml:space="preserve">the municipal, by law, must </w:t>
      </w:r>
      <w:r w:rsidR="002742FA" w:rsidRPr="00A92741">
        <w:rPr>
          <w:rFonts w:ascii="Arial" w:hAnsi="Arial" w:cs="Arial"/>
          <w:color w:val="000000"/>
          <w:sz w:val="22"/>
          <w:szCs w:val="22"/>
        </w:rPr>
        <w:t xml:space="preserve">proceed to </w:t>
      </w:r>
      <w:r w:rsidR="00884E2D" w:rsidRPr="00A92741">
        <w:rPr>
          <w:rFonts w:ascii="Arial" w:hAnsi="Arial" w:cs="Arial"/>
          <w:color w:val="000000"/>
          <w:sz w:val="22"/>
          <w:szCs w:val="22"/>
        </w:rPr>
        <w:t>terminate</w:t>
      </w:r>
      <w:r w:rsidR="00C93089" w:rsidRPr="00A92741">
        <w:rPr>
          <w:rFonts w:ascii="Arial" w:hAnsi="Arial" w:cs="Arial"/>
          <w:color w:val="000000"/>
          <w:sz w:val="22"/>
          <w:szCs w:val="22"/>
        </w:rPr>
        <w:t xml:space="preserve"> or restrict </w:t>
      </w:r>
      <w:r w:rsidR="00305758" w:rsidRPr="00A92741">
        <w:rPr>
          <w:rFonts w:ascii="Arial" w:hAnsi="Arial" w:cs="Arial"/>
          <w:color w:val="000000"/>
          <w:sz w:val="22"/>
          <w:szCs w:val="22"/>
        </w:rPr>
        <w:t xml:space="preserve">the </w:t>
      </w:r>
      <w:r w:rsidR="002742FA" w:rsidRPr="00A92741">
        <w:rPr>
          <w:rFonts w:ascii="Arial" w:hAnsi="Arial" w:cs="Arial"/>
          <w:color w:val="000000"/>
          <w:sz w:val="22"/>
          <w:szCs w:val="22"/>
        </w:rPr>
        <w:t xml:space="preserve">services </w:t>
      </w:r>
      <w:r w:rsidR="00305758" w:rsidRPr="00A92741">
        <w:rPr>
          <w:rFonts w:ascii="Arial" w:hAnsi="Arial" w:cs="Arial"/>
          <w:color w:val="000000"/>
          <w:sz w:val="22"/>
          <w:szCs w:val="22"/>
        </w:rPr>
        <w:t xml:space="preserve">to those </w:t>
      </w:r>
      <w:r w:rsidR="00151956">
        <w:rPr>
          <w:rFonts w:ascii="Arial" w:hAnsi="Arial" w:cs="Arial"/>
          <w:color w:val="000000"/>
          <w:sz w:val="22"/>
          <w:szCs w:val="22"/>
        </w:rPr>
        <w:t>customers (including</w:t>
      </w:r>
      <w:r w:rsidR="00884E2D" w:rsidRPr="00A92741">
        <w:rPr>
          <w:rFonts w:ascii="Arial" w:hAnsi="Arial" w:cs="Arial"/>
          <w:color w:val="000000"/>
          <w:sz w:val="22"/>
          <w:szCs w:val="22"/>
        </w:rPr>
        <w:t xml:space="preserve"> government departments and businesses) </w:t>
      </w:r>
      <w:r w:rsidR="002742FA" w:rsidRPr="00A92741">
        <w:rPr>
          <w:rFonts w:ascii="Arial" w:hAnsi="Arial" w:cs="Arial"/>
          <w:color w:val="000000"/>
          <w:sz w:val="22"/>
          <w:szCs w:val="22"/>
        </w:rPr>
        <w:t>with immediate effect.</w:t>
      </w:r>
    </w:p>
    <w:p w:rsidR="003C105B" w:rsidRPr="00A92741" w:rsidRDefault="003C105B" w:rsidP="00B10CD3">
      <w:pPr>
        <w:shd w:val="clear" w:color="auto" w:fill="FFFFFF" w:themeFill="background1"/>
        <w:suppressAutoHyphens/>
        <w:autoSpaceDE w:val="0"/>
        <w:autoSpaceDN w:val="0"/>
        <w:adjustRightInd w:val="0"/>
        <w:spacing w:line="276" w:lineRule="auto"/>
        <w:jc w:val="both"/>
        <w:textAlignment w:val="center"/>
        <w:rPr>
          <w:rFonts w:ascii="Arial" w:hAnsi="Arial" w:cs="Arial"/>
          <w:color w:val="000000"/>
          <w:sz w:val="22"/>
          <w:szCs w:val="22"/>
        </w:rPr>
      </w:pPr>
    </w:p>
    <w:p w:rsidR="004763E7" w:rsidRPr="00A92741" w:rsidRDefault="002742FA" w:rsidP="00B10CD3">
      <w:pPr>
        <w:shd w:val="clear" w:color="auto" w:fill="FFFFFF" w:themeFill="background1"/>
        <w:suppressAutoHyphens/>
        <w:autoSpaceDE w:val="0"/>
        <w:autoSpaceDN w:val="0"/>
        <w:adjustRightInd w:val="0"/>
        <w:spacing w:line="276" w:lineRule="auto"/>
        <w:jc w:val="both"/>
        <w:textAlignment w:val="center"/>
        <w:rPr>
          <w:rFonts w:ascii="Arial" w:hAnsi="Arial" w:cs="Arial"/>
          <w:color w:val="000000"/>
          <w:sz w:val="22"/>
          <w:szCs w:val="22"/>
        </w:rPr>
      </w:pPr>
      <w:r w:rsidRPr="00A92741">
        <w:rPr>
          <w:rFonts w:ascii="Arial" w:hAnsi="Arial" w:cs="Arial"/>
          <w:color w:val="000000"/>
          <w:sz w:val="22"/>
          <w:szCs w:val="22"/>
        </w:rPr>
        <w:t xml:space="preserve">Even if </w:t>
      </w:r>
      <w:r w:rsidR="00884E2D" w:rsidRPr="00A92741">
        <w:rPr>
          <w:rFonts w:ascii="Arial" w:hAnsi="Arial" w:cs="Arial"/>
          <w:color w:val="000000"/>
          <w:sz w:val="22"/>
          <w:szCs w:val="22"/>
        </w:rPr>
        <w:t xml:space="preserve">the customer </w:t>
      </w:r>
      <w:r w:rsidRPr="00A92741">
        <w:rPr>
          <w:rFonts w:ascii="Arial" w:hAnsi="Arial" w:cs="Arial"/>
          <w:color w:val="000000"/>
          <w:sz w:val="22"/>
          <w:szCs w:val="22"/>
        </w:rPr>
        <w:t>question</w:t>
      </w:r>
      <w:r w:rsidR="00884E2D" w:rsidRPr="00A92741">
        <w:rPr>
          <w:rFonts w:ascii="Arial" w:hAnsi="Arial" w:cs="Arial"/>
          <w:color w:val="000000"/>
          <w:sz w:val="22"/>
          <w:szCs w:val="22"/>
        </w:rPr>
        <w:t>s</w:t>
      </w:r>
      <w:r w:rsidRPr="00A92741">
        <w:rPr>
          <w:rFonts w:ascii="Arial" w:hAnsi="Arial" w:cs="Arial"/>
          <w:color w:val="000000"/>
          <w:sz w:val="22"/>
          <w:szCs w:val="22"/>
        </w:rPr>
        <w:t xml:space="preserve"> the accuracy of </w:t>
      </w:r>
      <w:r w:rsidR="00551D53" w:rsidRPr="00A92741">
        <w:rPr>
          <w:rFonts w:ascii="Arial" w:hAnsi="Arial" w:cs="Arial"/>
          <w:color w:val="000000"/>
          <w:sz w:val="22"/>
          <w:szCs w:val="22"/>
        </w:rPr>
        <w:t xml:space="preserve">the </w:t>
      </w:r>
      <w:r w:rsidR="00884E2D" w:rsidRPr="00A92741">
        <w:rPr>
          <w:rFonts w:ascii="Arial" w:hAnsi="Arial" w:cs="Arial"/>
          <w:color w:val="000000"/>
          <w:sz w:val="22"/>
          <w:szCs w:val="22"/>
        </w:rPr>
        <w:t>bill</w:t>
      </w:r>
      <w:r w:rsidRPr="00A92741">
        <w:rPr>
          <w:rFonts w:ascii="Arial" w:hAnsi="Arial" w:cs="Arial"/>
          <w:color w:val="000000"/>
          <w:sz w:val="22"/>
          <w:szCs w:val="22"/>
        </w:rPr>
        <w:t xml:space="preserve"> issued by </w:t>
      </w:r>
      <w:r w:rsidR="00551D53" w:rsidRPr="00A92741">
        <w:rPr>
          <w:rFonts w:ascii="Arial" w:hAnsi="Arial" w:cs="Arial"/>
          <w:color w:val="000000"/>
          <w:sz w:val="22"/>
          <w:szCs w:val="22"/>
        </w:rPr>
        <w:t>municipalities</w:t>
      </w:r>
      <w:r w:rsidRPr="00A92741">
        <w:rPr>
          <w:rFonts w:ascii="Arial" w:hAnsi="Arial" w:cs="Arial"/>
          <w:color w:val="000000"/>
          <w:sz w:val="22"/>
          <w:szCs w:val="22"/>
        </w:rPr>
        <w:t xml:space="preserve">, which </w:t>
      </w:r>
      <w:r w:rsidR="00551D53" w:rsidRPr="00A92741">
        <w:rPr>
          <w:rFonts w:ascii="Arial" w:hAnsi="Arial" w:cs="Arial"/>
          <w:color w:val="000000"/>
          <w:sz w:val="22"/>
          <w:szCs w:val="22"/>
        </w:rPr>
        <w:t xml:space="preserve">may be a valid concern, it is not acceptable behavior </w:t>
      </w:r>
      <w:r w:rsidR="004763E7" w:rsidRPr="00A92741">
        <w:rPr>
          <w:rFonts w:ascii="Arial" w:hAnsi="Arial" w:cs="Arial"/>
          <w:color w:val="000000"/>
          <w:sz w:val="22"/>
          <w:szCs w:val="22"/>
        </w:rPr>
        <w:t>not</w:t>
      </w:r>
      <w:r w:rsidR="004E4DE7" w:rsidRPr="00A92741">
        <w:rPr>
          <w:rFonts w:ascii="Arial" w:hAnsi="Arial" w:cs="Arial"/>
          <w:color w:val="000000"/>
          <w:sz w:val="22"/>
          <w:szCs w:val="22"/>
        </w:rPr>
        <w:t xml:space="preserve"> to</w:t>
      </w:r>
      <w:r w:rsidR="004763E7" w:rsidRPr="00A92741">
        <w:rPr>
          <w:rFonts w:ascii="Arial" w:hAnsi="Arial" w:cs="Arial"/>
          <w:color w:val="000000"/>
          <w:sz w:val="22"/>
          <w:szCs w:val="22"/>
        </w:rPr>
        <w:t xml:space="preserve"> honor </w:t>
      </w:r>
      <w:r w:rsidR="00884E2D" w:rsidRPr="00A92741">
        <w:rPr>
          <w:rFonts w:ascii="Arial" w:hAnsi="Arial" w:cs="Arial"/>
          <w:color w:val="000000"/>
          <w:sz w:val="22"/>
          <w:szCs w:val="22"/>
        </w:rPr>
        <w:t>the payment</w:t>
      </w:r>
      <w:r w:rsidR="00551D53" w:rsidRPr="00A92741">
        <w:rPr>
          <w:rFonts w:ascii="Arial" w:hAnsi="Arial" w:cs="Arial"/>
          <w:color w:val="000000"/>
          <w:sz w:val="22"/>
          <w:szCs w:val="22"/>
        </w:rPr>
        <w:t xml:space="preserve"> </w:t>
      </w:r>
      <w:r w:rsidR="004763E7" w:rsidRPr="00A92741">
        <w:rPr>
          <w:rFonts w:ascii="Arial" w:hAnsi="Arial" w:cs="Arial"/>
          <w:color w:val="000000"/>
          <w:sz w:val="22"/>
          <w:szCs w:val="22"/>
        </w:rPr>
        <w:t xml:space="preserve">for services </w:t>
      </w:r>
      <w:r w:rsidR="002E0BC0" w:rsidRPr="00A92741">
        <w:rPr>
          <w:rFonts w:ascii="Arial" w:hAnsi="Arial" w:cs="Arial"/>
          <w:color w:val="000000"/>
          <w:sz w:val="22"/>
          <w:szCs w:val="22"/>
        </w:rPr>
        <w:t xml:space="preserve">knowing </w:t>
      </w:r>
      <w:r w:rsidR="00305758" w:rsidRPr="00A92741">
        <w:rPr>
          <w:rFonts w:ascii="Arial" w:hAnsi="Arial" w:cs="Arial"/>
          <w:color w:val="000000"/>
          <w:sz w:val="22"/>
          <w:szCs w:val="22"/>
        </w:rPr>
        <w:t xml:space="preserve">very well that </w:t>
      </w:r>
      <w:r w:rsidR="00884E2D" w:rsidRPr="00A92741">
        <w:rPr>
          <w:rFonts w:ascii="Arial" w:hAnsi="Arial" w:cs="Arial"/>
          <w:color w:val="000000"/>
          <w:sz w:val="22"/>
          <w:szCs w:val="22"/>
        </w:rPr>
        <w:t xml:space="preserve">services have been </w:t>
      </w:r>
      <w:r w:rsidR="004763E7" w:rsidRPr="00A92741">
        <w:rPr>
          <w:rFonts w:ascii="Arial" w:hAnsi="Arial" w:cs="Arial"/>
          <w:color w:val="000000"/>
          <w:sz w:val="22"/>
          <w:szCs w:val="22"/>
        </w:rPr>
        <w:t>consumed.</w:t>
      </w:r>
      <w:r w:rsidR="00884E2D" w:rsidRPr="00A92741">
        <w:rPr>
          <w:rFonts w:ascii="Arial" w:hAnsi="Arial" w:cs="Arial"/>
          <w:color w:val="000000"/>
          <w:sz w:val="22"/>
          <w:szCs w:val="22"/>
        </w:rPr>
        <w:t xml:space="preserve">  In some cases, dependent on the specific credit control and debt management policy, the customer may have to pay first before any dispute is resolved.</w:t>
      </w:r>
    </w:p>
    <w:p w:rsidR="002E0BC0" w:rsidRPr="00A92741" w:rsidRDefault="002E0BC0" w:rsidP="00B10CD3">
      <w:pPr>
        <w:shd w:val="clear" w:color="auto" w:fill="FFFFFF" w:themeFill="background1"/>
        <w:suppressAutoHyphens/>
        <w:autoSpaceDE w:val="0"/>
        <w:autoSpaceDN w:val="0"/>
        <w:adjustRightInd w:val="0"/>
        <w:spacing w:line="276" w:lineRule="auto"/>
        <w:jc w:val="both"/>
        <w:textAlignment w:val="center"/>
        <w:rPr>
          <w:rFonts w:ascii="Arial" w:hAnsi="Arial" w:cs="Arial"/>
          <w:color w:val="000000"/>
          <w:sz w:val="22"/>
          <w:szCs w:val="22"/>
        </w:rPr>
      </w:pPr>
    </w:p>
    <w:p w:rsidR="002E0BC0" w:rsidRPr="00A92741" w:rsidRDefault="004D57FF" w:rsidP="00B10CD3">
      <w:pPr>
        <w:shd w:val="clear" w:color="auto" w:fill="FFFFFF" w:themeFill="background1"/>
        <w:suppressAutoHyphens/>
        <w:autoSpaceDE w:val="0"/>
        <w:autoSpaceDN w:val="0"/>
        <w:adjustRightInd w:val="0"/>
        <w:spacing w:line="276" w:lineRule="auto"/>
        <w:jc w:val="both"/>
        <w:textAlignment w:val="center"/>
        <w:rPr>
          <w:rFonts w:ascii="Arial" w:hAnsi="Arial" w:cs="Arial"/>
          <w:color w:val="000000"/>
          <w:sz w:val="22"/>
          <w:szCs w:val="22"/>
        </w:rPr>
      </w:pPr>
      <w:r>
        <w:rPr>
          <w:rFonts w:ascii="Arial" w:hAnsi="Arial" w:cs="Arial"/>
          <w:color w:val="000000"/>
          <w:sz w:val="22"/>
          <w:szCs w:val="22"/>
        </w:rPr>
        <w:t xml:space="preserve">There are number of initiatives that government is undertaking to address systemic challenges in the management of revenue as well as guidance issued to </w:t>
      </w:r>
      <w:r w:rsidR="00151956">
        <w:rPr>
          <w:rFonts w:ascii="Arial" w:hAnsi="Arial" w:cs="Arial"/>
          <w:color w:val="000000"/>
          <w:sz w:val="22"/>
          <w:szCs w:val="22"/>
        </w:rPr>
        <w:t>assist</w:t>
      </w:r>
      <w:r>
        <w:rPr>
          <w:rFonts w:ascii="Arial" w:hAnsi="Arial" w:cs="Arial"/>
          <w:color w:val="000000"/>
          <w:sz w:val="22"/>
          <w:szCs w:val="22"/>
        </w:rPr>
        <w:t xml:space="preserve"> municipalities which are </w:t>
      </w:r>
      <w:r w:rsidRPr="00A92741">
        <w:rPr>
          <w:rFonts w:ascii="Arial" w:hAnsi="Arial" w:cs="Arial"/>
          <w:color w:val="000000"/>
          <w:sz w:val="22"/>
          <w:szCs w:val="22"/>
        </w:rPr>
        <w:t>summarized</w:t>
      </w:r>
      <w:r w:rsidR="002E0BC0" w:rsidRPr="00A92741">
        <w:rPr>
          <w:rFonts w:ascii="Arial" w:hAnsi="Arial" w:cs="Arial"/>
          <w:color w:val="000000"/>
          <w:sz w:val="22"/>
          <w:szCs w:val="22"/>
        </w:rPr>
        <w:t xml:space="preserve"> and </w:t>
      </w:r>
      <w:r w:rsidR="00884E2D" w:rsidRPr="00A92741">
        <w:rPr>
          <w:rFonts w:ascii="Arial" w:hAnsi="Arial" w:cs="Arial"/>
          <w:color w:val="000000"/>
          <w:sz w:val="22"/>
          <w:szCs w:val="22"/>
        </w:rPr>
        <w:t>articulated</w:t>
      </w:r>
      <w:r w:rsidR="004763E7" w:rsidRPr="00A92741">
        <w:rPr>
          <w:rFonts w:ascii="Arial" w:hAnsi="Arial" w:cs="Arial"/>
          <w:color w:val="000000"/>
          <w:sz w:val="22"/>
          <w:szCs w:val="22"/>
        </w:rPr>
        <w:t xml:space="preserve"> </w:t>
      </w:r>
      <w:r w:rsidR="002E0BC0" w:rsidRPr="00A92741">
        <w:rPr>
          <w:rFonts w:ascii="Arial" w:hAnsi="Arial" w:cs="Arial"/>
          <w:color w:val="000000"/>
          <w:sz w:val="22"/>
          <w:szCs w:val="22"/>
        </w:rPr>
        <w:t xml:space="preserve">in </w:t>
      </w:r>
      <w:r w:rsidR="00812D6D" w:rsidRPr="00A92741">
        <w:rPr>
          <w:rFonts w:ascii="Arial" w:hAnsi="Arial" w:cs="Arial"/>
          <w:color w:val="000000"/>
          <w:sz w:val="22"/>
          <w:szCs w:val="22"/>
        </w:rPr>
        <w:t>an</w:t>
      </w:r>
      <w:r w:rsidR="004763E7" w:rsidRPr="00A92741">
        <w:rPr>
          <w:rFonts w:ascii="Arial" w:hAnsi="Arial" w:cs="Arial"/>
          <w:color w:val="000000"/>
          <w:sz w:val="22"/>
          <w:szCs w:val="22"/>
        </w:rPr>
        <w:t xml:space="preserve"> </w:t>
      </w:r>
      <w:r w:rsidR="002E0BC0" w:rsidRPr="00A92741">
        <w:rPr>
          <w:rFonts w:ascii="Arial" w:hAnsi="Arial" w:cs="Arial"/>
          <w:color w:val="000000"/>
          <w:sz w:val="22"/>
          <w:szCs w:val="22"/>
        </w:rPr>
        <w:t>Ann</w:t>
      </w:r>
      <w:r w:rsidR="00884E2D" w:rsidRPr="00A92741">
        <w:rPr>
          <w:rFonts w:ascii="Arial" w:hAnsi="Arial" w:cs="Arial"/>
          <w:color w:val="000000"/>
          <w:sz w:val="22"/>
          <w:szCs w:val="22"/>
        </w:rPr>
        <w:t>e</w:t>
      </w:r>
      <w:r w:rsidR="002E0BC0" w:rsidRPr="00A92741">
        <w:rPr>
          <w:rFonts w:ascii="Arial" w:hAnsi="Arial" w:cs="Arial"/>
          <w:color w:val="000000"/>
          <w:sz w:val="22"/>
          <w:szCs w:val="22"/>
        </w:rPr>
        <w:t>x</w:t>
      </w:r>
      <w:r w:rsidR="00884E2D" w:rsidRPr="00A92741">
        <w:rPr>
          <w:rFonts w:ascii="Arial" w:hAnsi="Arial" w:cs="Arial"/>
          <w:color w:val="000000"/>
          <w:sz w:val="22"/>
          <w:szCs w:val="22"/>
        </w:rPr>
        <w:t>ure</w:t>
      </w:r>
      <w:r w:rsidR="002E0BC0" w:rsidRPr="00A92741">
        <w:rPr>
          <w:rFonts w:ascii="Arial" w:hAnsi="Arial" w:cs="Arial"/>
          <w:color w:val="000000"/>
          <w:sz w:val="22"/>
          <w:szCs w:val="22"/>
        </w:rPr>
        <w:t xml:space="preserve"> A to this</w:t>
      </w:r>
      <w:r w:rsidR="004763E7" w:rsidRPr="00A92741">
        <w:rPr>
          <w:rFonts w:ascii="Arial" w:hAnsi="Arial" w:cs="Arial"/>
          <w:color w:val="000000"/>
          <w:sz w:val="22"/>
          <w:szCs w:val="22"/>
        </w:rPr>
        <w:t xml:space="preserve"> response.</w:t>
      </w:r>
    </w:p>
    <w:p w:rsidR="002E0BC0" w:rsidRDefault="002E0BC0">
      <w:pPr>
        <w:spacing w:after="160" w:line="259" w:lineRule="auto"/>
        <w:rPr>
          <w:rFonts w:ascii="Arial" w:hAnsi="Arial" w:cs="Arial"/>
          <w:color w:val="000000"/>
          <w:sz w:val="22"/>
          <w:szCs w:val="22"/>
          <w:highlight w:val="yellow"/>
        </w:rPr>
      </w:pPr>
      <w:r>
        <w:rPr>
          <w:rFonts w:ascii="Arial" w:hAnsi="Arial" w:cs="Arial"/>
          <w:color w:val="000000"/>
          <w:sz w:val="22"/>
          <w:szCs w:val="22"/>
          <w:highlight w:val="yellow"/>
        </w:rPr>
        <w:br w:type="page"/>
      </w:r>
    </w:p>
    <w:p w:rsidR="0069335E" w:rsidRPr="00AB7CED" w:rsidRDefault="0069335E" w:rsidP="0069335E">
      <w:pPr>
        <w:shd w:val="clear" w:color="auto" w:fill="FFFFFF" w:themeFill="background1"/>
        <w:suppressAutoHyphens/>
        <w:autoSpaceDE w:val="0"/>
        <w:autoSpaceDN w:val="0"/>
        <w:adjustRightInd w:val="0"/>
        <w:spacing w:line="276" w:lineRule="auto"/>
        <w:ind w:left="720"/>
        <w:jc w:val="right"/>
        <w:textAlignment w:val="center"/>
        <w:rPr>
          <w:rFonts w:ascii="Arial" w:hAnsi="Arial" w:cs="Arial"/>
          <w:b/>
          <w:bCs/>
          <w:color w:val="000000"/>
          <w:sz w:val="22"/>
          <w:szCs w:val="22"/>
        </w:rPr>
      </w:pPr>
      <w:r w:rsidRPr="00AB7CED">
        <w:rPr>
          <w:rFonts w:ascii="Arial" w:hAnsi="Arial" w:cs="Arial"/>
          <w:b/>
          <w:bCs/>
          <w:color w:val="000000"/>
          <w:sz w:val="22"/>
          <w:szCs w:val="22"/>
        </w:rPr>
        <w:lastRenderedPageBreak/>
        <w:t>Annexure A:</w:t>
      </w:r>
    </w:p>
    <w:p w:rsidR="0069335E" w:rsidRPr="00AA15CA" w:rsidRDefault="0069335E" w:rsidP="0069335E">
      <w:pPr>
        <w:shd w:val="clear" w:color="auto" w:fill="FFFFFF" w:themeFill="background1"/>
        <w:suppressAutoHyphens/>
        <w:autoSpaceDE w:val="0"/>
        <w:autoSpaceDN w:val="0"/>
        <w:adjustRightInd w:val="0"/>
        <w:spacing w:line="276" w:lineRule="auto"/>
        <w:jc w:val="both"/>
        <w:textAlignment w:val="center"/>
        <w:rPr>
          <w:rFonts w:ascii="Arial" w:hAnsi="Arial" w:cs="Arial"/>
          <w:b/>
          <w:bCs/>
          <w:color w:val="000000"/>
          <w:sz w:val="22"/>
          <w:szCs w:val="22"/>
        </w:rPr>
      </w:pPr>
    </w:p>
    <w:p w:rsidR="0069335E" w:rsidRPr="0027737F" w:rsidRDefault="0069335E" w:rsidP="0069335E">
      <w:pPr>
        <w:shd w:val="clear" w:color="auto" w:fill="FFFFFF" w:themeFill="background1"/>
        <w:suppressAutoHyphens/>
        <w:autoSpaceDE w:val="0"/>
        <w:autoSpaceDN w:val="0"/>
        <w:adjustRightInd w:val="0"/>
        <w:spacing w:line="276" w:lineRule="auto"/>
        <w:jc w:val="both"/>
        <w:textAlignment w:val="center"/>
        <w:rPr>
          <w:rFonts w:ascii="Arial" w:hAnsi="Arial" w:cs="Arial"/>
          <w:color w:val="000000"/>
          <w:sz w:val="22"/>
          <w:szCs w:val="22"/>
        </w:rPr>
      </w:pPr>
      <w:r w:rsidRPr="0027737F">
        <w:rPr>
          <w:rFonts w:ascii="Arial" w:hAnsi="Arial" w:cs="Arial"/>
          <w:color w:val="000000"/>
          <w:sz w:val="22"/>
          <w:szCs w:val="22"/>
        </w:rPr>
        <w:t>Section 38(1)(f) of the Public Finance Management Act, 1999 (Act No. 1 of 1999) (PFMA) read together with Treasury Regulation 8.2.3, requires accounting officers of departments to settle all contractual obligations and pay all money owing, including intergovernmental claims, within 30 days or other period agreed with the creditors or suppliers.</w:t>
      </w:r>
    </w:p>
    <w:p w:rsidR="0069335E" w:rsidRPr="00AA15CA" w:rsidRDefault="0069335E" w:rsidP="0069335E">
      <w:pPr>
        <w:shd w:val="clear" w:color="auto" w:fill="FFFFFF" w:themeFill="background1"/>
        <w:suppressAutoHyphens/>
        <w:autoSpaceDE w:val="0"/>
        <w:autoSpaceDN w:val="0"/>
        <w:adjustRightInd w:val="0"/>
        <w:spacing w:line="276" w:lineRule="auto"/>
        <w:jc w:val="both"/>
        <w:textAlignment w:val="center"/>
        <w:rPr>
          <w:rFonts w:ascii="Arial" w:hAnsi="Arial" w:cs="Arial"/>
          <w:b/>
          <w:bCs/>
          <w:color w:val="000000"/>
          <w:sz w:val="22"/>
          <w:szCs w:val="22"/>
        </w:rPr>
      </w:pPr>
    </w:p>
    <w:p w:rsidR="0069335E" w:rsidRPr="0027737F" w:rsidRDefault="0069335E" w:rsidP="0069335E">
      <w:pPr>
        <w:shd w:val="clear" w:color="auto" w:fill="FFFFFF" w:themeFill="background1"/>
        <w:suppressAutoHyphens/>
        <w:autoSpaceDE w:val="0"/>
        <w:autoSpaceDN w:val="0"/>
        <w:adjustRightInd w:val="0"/>
        <w:spacing w:line="276" w:lineRule="auto"/>
        <w:jc w:val="both"/>
        <w:textAlignment w:val="center"/>
        <w:rPr>
          <w:rFonts w:ascii="Arial" w:hAnsi="Arial" w:cs="Arial"/>
          <w:color w:val="000000"/>
          <w:sz w:val="22"/>
          <w:szCs w:val="22"/>
        </w:rPr>
      </w:pPr>
      <w:r w:rsidRPr="0027737F">
        <w:rPr>
          <w:rFonts w:ascii="Arial" w:hAnsi="Arial" w:cs="Arial"/>
          <w:color w:val="000000"/>
          <w:sz w:val="22"/>
          <w:szCs w:val="22"/>
        </w:rPr>
        <w:t>Municipal liquidity and/ or cash flow is a complex challenge underpinned by various matters not only related to arrears owed by government departments and/ or businesses.</w:t>
      </w:r>
    </w:p>
    <w:p w:rsidR="0069335E" w:rsidRPr="00AA15CA" w:rsidRDefault="0069335E" w:rsidP="0069335E">
      <w:pPr>
        <w:shd w:val="clear" w:color="auto" w:fill="FFFFFF" w:themeFill="background1"/>
        <w:suppressAutoHyphens/>
        <w:autoSpaceDE w:val="0"/>
        <w:autoSpaceDN w:val="0"/>
        <w:adjustRightInd w:val="0"/>
        <w:spacing w:line="276" w:lineRule="auto"/>
        <w:jc w:val="both"/>
        <w:textAlignment w:val="center"/>
        <w:rPr>
          <w:rFonts w:ascii="Arial" w:hAnsi="Arial" w:cs="Arial"/>
          <w:b/>
          <w:bCs/>
          <w:color w:val="000000"/>
          <w:sz w:val="22"/>
          <w:szCs w:val="22"/>
        </w:rPr>
      </w:pPr>
    </w:p>
    <w:p w:rsidR="0069335E" w:rsidRPr="0027737F" w:rsidRDefault="00965A12" w:rsidP="0069335E">
      <w:pPr>
        <w:tabs>
          <w:tab w:val="left" w:pos="567"/>
        </w:tabs>
        <w:spacing w:line="276" w:lineRule="auto"/>
        <w:jc w:val="both"/>
        <w:rPr>
          <w:rFonts w:ascii="Arial" w:hAnsi="Arial" w:cs="Arial"/>
          <w:color w:val="000000"/>
          <w:sz w:val="22"/>
          <w:szCs w:val="22"/>
        </w:rPr>
      </w:pPr>
      <w:r w:rsidRPr="00965A12">
        <w:rPr>
          <w:rFonts w:ascii="Arial" w:hAnsi="Arial" w:cs="Arial"/>
          <w:b/>
          <w:bCs/>
          <w:color w:val="000000"/>
          <w:sz w:val="22"/>
          <w:szCs w:val="22"/>
        </w:rPr>
        <w:t>Smart metering solution</w:t>
      </w:r>
      <w:r>
        <w:rPr>
          <w:rFonts w:ascii="Arial" w:hAnsi="Arial" w:cs="Arial"/>
          <w:color w:val="000000"/>
          <w:sz w:val="22"/>
          <w:szCs w:val="22"/>
        </w:rPr>
        <w:t xml:space="preserve"> - t</w:t>
      </w:r>
      <w:r w:rsidR="0069335E" w:rsidRPr="0027737F">
        <w:rPr>
          <w:rFonts w:ascii="Arial" w:hAnsi="Arial" w:cs="Arial"/>
          <w:color w:val="000000"/>
          <w:sz w:val="22"/>
          <w:szCs w:val="22"/>
        </w:rPr>
        <w:t>o improve revenue collection in municipalities, the National Treasury is exploring a SMART solution with the Department of Minerals and Energy and the Department of Trade and Industry to, through the Office of the Chief Procurement Officer (OCPO), issue a transversal tender for national roll out.  It is envisaged this will transform the current backward-looking culture of payment for municipal services and property rates taxes to a forward-looking pre-paid payment solution of a consolidated municipal bill (for both services and property rates) also as it relates to organs of state and businesses.  Unless funding can be facilitated, this will be a medium to longer term initiative to be funded from municipal own resources.</w:t>
      </w:r>
    </w:p>
    <w:p w:rsidR="0069335E" w:rsidRPr="00AA15CA" w:rsidRDefault="0069335E" w:rsidP="0069335E">
      <w:pPr>
        <w:shd w:val="clear" w:color="auto" w:fill="FFFFFF" w:themeFill="background1"/>
        <w:suppressAutoHyphens/>
        <w:autoSpaceDE w:val="0"/>
        <w:autoSpaceDN w:val="0"/>
        <w:adjustRightInd w:val="0"/>
        <w:spacing w:line="276" w:lineRule="auto"/>
        <w:jc w:val="both"/>
        <w:textAlignment w:val="center"/>
        <w:rPr>
          <w:rFonts w:ascii="Arial" w:hAnsi="Arial" w:cs="Arial"/>
          <w:b/>
          <w:bCs/>
          <w:color w:val="000000"/>
          <w:sz w:val="22"/>
          <w:szCs w:val="22"/>
        </w:rPr>
      </w:pPr>
    </w:p>
    <w:p w:rsidR="0069335E" w:rsidRPr="0027737F" w:rsidRDefault="0069335E" w:rsidP="0069335E">
      <w:pPr>
        <w:shd w:val="clear" w:color="auto" w:fill="FFFFFF" w:themeFill="background1"/>
        <w:suppressAutoHyphens/>
        <w:autoSpaceDE w:val="0"/>
        <w:autoSpaceDN w:val="0"/>
        <w:adjustRightInd w:val="0"/>
        <w:spacing w:line="276" w:lineRule="auto"/>
        <w:jc w:val="both"/>
        <w:textAlignment w:val="center"/>
        <w:rPr>
          <w:rFonts w:ascii="Arial" w:hAnsi="Arial" w:cs="Arial"/>
          <w:color w:val="000000"/>
          <w:sz w:val="22"/>
          <w:szCs w:val="22"/>
        </w:rPr>
      </w:pPr>
      <w:r w:rsidRPr="0027737F">
        <w:rPr>
          <w:rFonts w:ascii="Arial" w:hAnsi="Arial" w:cs="Arial"/>
          <w:b/>
          <w:bCs/>
          <w:color w:val="000000"/>
          <w:sz w:val="22"/>
          <w:szCs w:val="22"/>
        </w:rPr>
        <w:t xml:space="preserve">Organs of state debt - </w:t>
      </w:r>
      <w:r w:rsidRPr="0027737F">
        <w:rPr>
          <w:rFonts w:ascii="Arial" w:hAnsi="Arial" w:cs="Arial"/>
          <w:color w:val="000000"/>
          <w:sz w:val="22"/>
          <w:szCs w:val="22"/>
        </w:rPr>
        <w:t xml:space="preserve">during the latter part of 2021, </w:t>
      </w:r>
      <w:r w:rsidRPr="0027737F">
        <w:rPr>
          <w:rFonts w:ascii="Arial" w:eastAsia="Calibri" w:hAnsi="Arial" w:cs="Arial"/>
          <w:sz w:val="22"/>
          <w:szCs w:val="22"/>
          <w:lang w:val="en-GB"/>
        </w:rPr>
        <w:t xml:space="preserve">Government’s Multi-disciplinary Revenue Committee </w:t>
      </w:r>
      <w:r w:rsidRPr="0027737F">
        <w:rPr>
          <w:rFonts w:ascii="Arial" w:hAnsi="Arial" w:cs="Arial"/>
          <w:color w:val="000000"/>
          <w:sz w:val="22"/>
          <w:szCs w:val="22"/>
        </w:rPr>
        <w:t>(M</w:t>
      </w:r>
      <w:r w:rsidRPr="0027737F">
        <w:rPr>
          <w:rFonts w:ascii="Arial" w:hAnsi="Arial" w:cs="Arial"/>
          <w:i/>
          <w:color w:val="000000"/>
          <w:sz w:val="22"/>
          <w:szCs w:val="22"/>
        </w:rPr>
        <w:t>d</w:t>
      </w:r>
      <w:r w:rsidRPr="0027737F">
        <w:rPr>
          <w:rFonts w:ascii="Arial" w:hAnsi="Arial" w:cs="Arial"/>
          <w:color w:val="000000"/>
          <w:sz w:val="22"/>
          <w:szCs w:val="22"/>
        </w:rPr>
        <w:t>RC) (as an organs of state consultation platform) initiated the Department of Public Works’ collection of information from all national organs of state on debt owed to municipalities and the reasons for them not paying.  The project is delayed due to organs of state’s late or incomplete information.  It is our understanding that the Department of Public Works is embarking on a similar project for provincial organs of state.</w:t>
      </w:r>
    </w:p>
    <w:p w:rsidR="0069335E" w:rsidRPr="00AA15CA" w:rsidRDefault="0069335E" w:rsidP="0069335E">
      <w:pPr>
        <w:shd w:val="clear" w:color="auto" w:fill="FFFFFF" w:themeFill="background1"/>
        <w:suppressAutoHyphens/>
        <w:autoSpaceDE w:val="0"/>
        <w:autoSpaceDN w:val="0"/>
        <w:adjustRightInd w:val="0"/>
        <w:spacing w:line="276" w:lineRule="auto"/>
        <w:jc w:val="both"/>
        <w:textAlignment w:val="center"/>
        <w:rPr>
          <w:rFonts w:ascii="Arial" w:hAnsi="Arial" w:cs="Arial"/>
          <w:b/>
          <w:bCs/>
          <w:color w:val="000000"/>
          <w:sz w:val="22"/>
          <w:szCs w:val="22"/>
        </w:rPr>
      </w:pPr>
    </w:p>
    <w:p w:rsidR="0069335E" w:rsidRPr="0027737F" w:rsidRDefault="0069335E" w:rsidP="0069335E">
      <w:pPr>
        <w:shd w:val="clear" w:color="auto" w:fill="FFFFFF" w:themeFill="background1"/>
        <w:suppressAutoHyphens/>
        <w:autoSpaceDE w:val="0"/>
        <w:autoSpaceDN w:val="0"/>
        <w:adjustRightInd w:val="0"/>
        <w:spacing w:line="276" w:lineRule="auto"/>
        <w:jc w:val="both"/>
        <w:textAlignment w:val="center"/>
        <w:rPr>
          <w:rFonts w:ascii="Arial" w:hAnsi="Arial" w:cs="Arial"/>
          <w:color w:val="000000"/>
          <w:sz w:val="22"/>
          <w:szCs w:val="22"/>
        </w:rPr>
      </w:pPr>
      <w:r w:rsidRPr="0027737F">
        <w:rPr>
          <w:rFonts w:ascii="Arial" w:hAnsi="Arial" w:cs="Arial"/>
          <w:color w:val="000000"/>
          <w:sz w:val="22"/>
          <w:szCs w:val="22"/>
        </w:rPr>
        <w:t>To ensure all government consumers of services are billed, a coordinated resolution is underway to correct the ownership of 80 000 government properties identified as registered to the incorrect government owner in the Deeds Office.  This problem directly relates to the establishment and disestablishment of departments across 6 administrations since 1994.  This has been stated by numerous organs of state as preventing them to pay the respective municipalities for property rates and services.  This is unfortunately a costly and time-consuming process.  The National Treasury will be engaging the Deeds Office to explore legal options to fast-track these corrections and more cost-effective ways to affect such going forward.</w:t>
      </w:r>
    </w:p>
    <w:p w:rsidR="0069335E" w:rsidRPr="00AA15CA" w:rsidRDefault="0069335E" w:rsidP="0069335E">
      <w:pPr>
        <w:shd w:val="clear" w:color="auto" w:fill="FFFFFF" w:themeFill="background1"/>
        <w:suppressAutoHyphens/>
        <w:autoSpaceDE w:val="0"/>
        <w:autoSpaceDN w:val="0"/>
        <w:adjustRightInd w:val="0"/>
        <w:spacing w:line="276" w:lineRule="auto"/>
        <w:jc w:val="both"/>
        <w:textAlignment w:val="center"/>
        <w:rPr>
          <w:rFonts w:ascii="Arial" w:hAnsi="Arial" w:cs="Arial"/>
          <w:b/>
          <w:bCs/>
          <w:color w:val="000000"/>
          <w:sz w:val="22"/>
          <w:szCs w:val="22"/>
        </w:rPr>
      </w:pPr>
    </w:p>
    <w:p w:rsidR="0069335E" w:rsidRPr="0027737F" w:rsidRDefault="0069335E" w:rsidP="0069335E">
      <w:pPr>
        <w:shd w:val="clear" w:color="auto" w:fill="FFFFFF" w:themeFill="background1"/>
        <w:suppressAutoHyphens/>
        <w:autoSpaceDE w:val="0"/>
        <w:autoSpaceDN w:val="0"/>
        <w:adjustRightInd w:val="0"/>
        <w:spacing w:line="276" w:lineRule="auto"/>
        <w:jc w:val="both"/>
        <w:textAlignment w:val="center"/>
        <w:rPr>
          <w:rFonts w:ascii="Arial" w:hAnsi="Arial" w:cs="Arial"/>
          <w:color w:val="000000"/>
          <w:sz w:val="22"/>
          <w:szCs w:val="22"/>
        </w:rPr>
      </w:pPr>
      <w:r w:rsidRPr="0027737F">
        <w:rPr>
          <w:rFonts w:ascii="Arial" w:hAnsi="Arial" w:cs="Arial"/>
          <w:color w:val="000000"/>
          <w:sz w:val="22"/>
          <w:szCs w:val="22"/>
        </w:rPr>
        <w:t>A project is also underway to assist municipalities to ensure that their valuation rolls agree to the asset registers of the Department of Public Works for all organs of state.  It is anticipated that a nationwide reconciliation of this nature will provide a further list of variance properties that needs to be corrected in the Deeds Registry by the Department of Public Works and / or other organs of state.  The second part of this project involves a long-term project to individually correct every property at the relevant Deeds Office on a case-by-case basis as mentioned above.</w:t>
      </w:r>
    </w:p>
    <w:p w:rsidR="0069335E" w:rsidRPr="00AA15CA" w:rsidRDefault="0069335E" w:rsidP="00AA15CA">
      <w:pPr>
        <w:shd w:val="clear" w:color="auto" w:fill="FFFFFF" w:themeFill="background1"/>
        <w:suppressAutoHyphens/>
        <w:autoSpaceDE w:val="0"/>
        <w:autoSpaceDN w:val="0"/>
        <w:adjustRightInd w:val="0"/>
        <w:spacing w:line="276" w:lineRule="auto"/>
        <w:jc w:val="both"/>
        <w:textAlignment w:val="center"/>
        <w:rPr>
          <w:rFonts w:ascii="Arial" w:hAnsi="Arial" w:cs="Arial"/>
          <w:b/>
          <w:bCs/>
          <w:color w:val="000000"/>
          <w:sz w:val="22"/>
          <w:szCs w:val="22"/>
        </w:rPr>
      </w:pPr>
    </w:p>
    <w:sectPr w:rsidR="0069335E" w:rsidRPr="00AA15CA" w:rsidSect="00D537FD">
      <w:footerReference w:type="default" r:id="rId7"/>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980" w:rsidRDefault="003E1980">
      <w:r>
        <w:separator/>
      </w:r>
    </w:p>
  </w:endnote>
  <w:endnote w:type="continuationSeparator" w:id="0">
    <w:p w:rsidR="003E1980" w:rsidRDefault="003E1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6F61B5">
        <w:pPr>
          <w:pStyle w:val="Footer"/>
          <w:jc w:val="center"/>
        </w:pPr>
        <w:r>
          <w:fldChar w:fldCharType="begin"/>
        </w:r>
        <w:r w:rsidR="00FE571B">
          <w:instrText xml:space="preserve"> PAGE   \* MERGEFORMAT </w:instrText>
        </w:r>
        <w:r>
          <w:fldChar w:fldCharType="separate"/>
        </w:r>
        <w:r w:rsidR="003E1980">
          <w:rPr>
            <w:noProof/>
          </w:rPr>
          <w:t>1</w:t>
        </w:r>
        <w:r>
          <w:rPr>
            <w:noProof/>
          </w:rPr>
          <w:fldChar w:fldCharType="end"/>
        </w:r>
      </w:p>
    </w:sdtContent>
  </w:sdt>
  <w:p w:rsidR="006C2B5C" w:rsidRDefault="003E1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980" w:rsidRDefault="003E1980">
      <w:r>
        <w:separator/>
      </w:r>
    </w:p>
  </w:footnote>
  <w:footnote w:type="continuationSeparator" w:id="0">
    <w:p w:rsidR="003E1980" w:rsidRDefault="003E1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5844"/>
    <w:multiLevelType w:val="hybridMultilevel"/>
    <w:tmpl w:val="84D2E49E"/>
    <w:lvl w:ilvl="0" w:tplc="118A41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5C35EC"/>
    <w:multiLevelType w:val="hybridMultilevel"/>
    <w:tmpl w:val="AE1292CE"/>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2">
    <w:nsid w:val="512425D5"/>
    <w:multiLevelType w:val="hybridMultilevel"/>
    <w:tmpl w:val="746601C8"/>
    <w:lvl w:ilvl="0" w:tplc="FF7A8612">
      <w:start w:val="1"/>
      <w:numFmt w:val="decimal"/>
      <w:lvlText w:val="%1."/>
      <w:lvlJc w:val="left"/>
      <w:pPr>
        <w:tabs>
          <w:tab w:val="num" w:pos="928"/>
        </w:tabs>
        <w:ind w:left="928" w:hanging="360"/>
      </w:pPr>
      <w:rPr>
        <w:rFonts w:ascii="Arial" w:hAnsi="Arial" w:cs="Arial" w:hint="default"/>
        <w:b w:val="0"/>
        <w:color w:val="auto"/>
        <w:sz w:val="22"/>
        <w:szCs w:val="22"/>
      </w:rPr>
    </w:lvl>
    <w:lvl w:ilvl="1" w:tplc="04090019">
      <w:start w:val="1"/>
      <w:numFmt w:val="lowerLetter"/>
      <w:lvlText w:val="%2."/>
      <w:lvlJc w:val="left"/>
      <w:pPr>
        <w:tabs>
          <w:tab w:val="num" w:pos="1980"/>
        </w:tabs>
        <w:ind w:left="1980" w:hanging="360"/>
      </w:pPr>
      <w:rPr>
        <w:b w:val="0"/>
        <w:sz w:val="24"/>
        <w:szCs w:val="24"/>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3">
    <w:nsid w:val="7B105A78"/>
    <w:multiLevelType w:val="hybridMultilevel"/>
    <w:tmpl w:val="EEE0867A"/>
    <w:lvl w:ilvl="0" w:tplc="8E0E4C20">
      <w:start w:val="1"/>
      <w:numFmt w:val="bullet"/>
      <w:lvlText w:val="•"/>
      <w:lvlJc w:val="left"/>
      <w:pPr>
        <w:tabs>
          <w:tab w:val="num" w:pos="720"/>
        </w:tabs>
        <w:ind w:left="720" w:hanging="360"/>
      </w:pPr>
      <w:rPr>
        <w:rFonts w:ascii="Times New Roman" w:hAnsi="Times New Roman" w:hint="default"/>
      </w:rPr>
    </w:lvl>
    <w:lvl w:ilvl="1" w:tplc="ED069462" w:tentative="1">
      <w:start w:val="1"/>
      <w:numFmt w:val="bullet"/>
      <w:lvlText w:val="•"/>
      <w:lvlJc w:val="left"/>
      <w:pPr>
        <w:tabs>
          <w:tab w:val="num" w:pos="1440"/>
        </w:tabs>
        <w:ind w:left="1440" w:hanging="360"/>
      </w:pPr>
      <w:rPr>
        <w:rFonts w:ascii="Times New Roman" w:hAnsi="Times New Roman" w:hint="default"/>
      </w:rPr>
    </w:lvl>
    <w:lvl w:ilvl="2" w:tplc="EC8428D2" w:tentative="1">
      <w:start w:val="1"/>
      <w:numFmt w:val="bullet"/>
      <w:lvlText w:val="•"/>
      <w:lvlJc w:val="left"/>
      <w:pPr>
        <w:tabs>
          <w:tab w:val="num" w:pos="2160"/>
        </w:tabs>
        <w:ind w:left="2160" w:hanging="360"/>
      </w:pPr>
      <w:rPr>
        <w:rFonts w:ascii="Times New Roman" w:hAnsi="Times New Roman" w:hint="default"/>
      </w:rPr>
    </w:lvl>
    <w:lvl w:ilvl="3" w:tplc="55C82C32" w:tentative="1">
      <w:start w:val="1"/>
      <w:numFmt w:val="bullet"/>
      <w:lvlText w:val="•"/>
      <w:lvlJc w:val="left"/>
      <w:pPr>
        <w:tabs>
          <w:tab w:val="num" w:pos="2880"/>
        </w:tabs>
        <w:ind w:left="2880" w:hanging="360"/>
      </w:pPr>
      <w:rPr>
        <w:rFonts w:ascii="Times New Roman" w:hAnsi="Times New Roman" w:hint="default"/>
      </w:rPr>
    </w:lvl>
    <w:lvl w:ilvl="4" w:tplc="D0C828E2" w:tentative="1">
      <w:start w:val="1"/>
      <w:numFmt w:val="bullet"/>
      <w:lvlText w:val="•"/>
      <w:lvlJc w:val="left"/>
      <w:pPr>
        <w:tabs>
          <w:tab w:val="num" w:pos="3600"/>
        </w:tabs>
        <w:ind w:left="3600" w:hanging="360"/>
      </w:pPr>
      <w:rPr>
        <w:rFonts w:ascii="Times New Roman" w:hAnsi="Times New Roman" w:hint="default"/>
      </w:rPr>
    </w:lvl>
    <w:lvl w:ilvl="5" w:tplc="DFF0805A" w:tentative="1">
      <w:start w:val="1"/>
      <w:numFmt w:val="bullet"/>
      <w:lvlText w:val="•"/>
      <w:lvlJc w:val="left"/>
      <w:pPr>
        <w:tabs>
          <w:tab w:val="num" w:pos="4320"/>
        </w:tabs>
        <w:ind w:left="4320" w:hanging="360"/>
      </w:pPr>
      <w:rPr>
        <w:rFonts w:ascii="Times New Roman" w:hAnsi="Times New Roman" w:hint="default"/>
      </w:rPr>
    </w:lvl>
    <w:lvl w:ilvl="6" w:tplc="A0AEA41E" w:tentative="1">
      <w:start w:val="1"/>
      <w:numFmt w:val="bullet"/>
      <w:lvlText w:val="•"/>
      <w:lvlJc w:val="left"/>
      <w:pPr>
        <w:tabs>
          <w:tab w:val="num" w:pos="5040"/>
        </w:tabs>
        <w:ind w:left="5040" w:hanging="360"/>
      </w:pPr>
      <w:rPr>
        <w:rFonts w:ascii="Times New Roman" w:hAnsi="Times New Roman" w:hint="default"/>
      </w:rPr>
    </w:lvl>
    <w:lvl w:ilvl="7" w:tplc="7C148FC4" w:tentative="1">
      <w:start w:val="1"/>
      <w:numFmt w:val="bullet"/>
      <w:lvlText w:val="•"/>
      <w:lvlJc w:val="left"/>
      <w:pPr>
        <w:tabs>
          <w:tab w:val="num" w:pos="5760"/>
        </w:tabs>
        <w:ind w:left="5760" w:hanging="360"/>
      </w:pPr>
      <w:rPr>
        <w:rFonts w:ascii="Times New Roman" w:hAnsi="Times New Roman" w:hint="default"/>
      </w:rPr>
    </w:lvl>
    <w:lvl w:ilvl="8" w:tplc="FE941A3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rgUAyeASWywAAAA="/>
  </w:docVars>
  <w:rsids>
    <w:rsidRoot w:val="005C4707"/>
    <w:rsid w:val="00003394"/>
    <w:rsid w:val="000470B3"/>
    <w:rsid w:val="0009529A"/>
    <w:rsid w:val="000A0030"/>
    <w:rsid w:val="000B4816"/>
    <w:rsid w:val="000C1C1F"/>
    <w:rsid w:val="000C6776"/>
    <w:rsid w:val="000E38EE"/>
    <w:rsid w:val="000E42E1"/>
    <w:rsid w:val="000E5E3F"/>
    <w:rsid w:val="000F4AE9"/>
    <w:rsid w:val="00105B57"/>
    <w:rsid w:val="00111E8A"/>
    <w:rsid w:val="00115837"/>
    <w:rsid w:val="0013270C"/>
    <w:rsid w:val="001332C5"/>
    <w:rsid w:val="00141196"/>
    <w:rsid w:val="00146B8A"/>
    <w:rsid w:val="00151956"/>
    <w:rsid w:val="00154215"/>
    <w:rsid w:val="00175FFD"/>
    <w:rsid w:val="001A179B"/>
    <w:rsid w:val="00252AB8"/>
    <w:rsid w:val="002678B0"/>
    <w:rsid w:val="002742FA"/>
    <w:rsid w:val="0027737F"/>
    <w:rsid w:val="00287975"/>
    <w:rsid w:val="002960FB"/>
    <w:rsid w:val="002B17FF"/>
    <w:rsid w:val="002C444A"/>
    <w:rsid w:val="002D735D"/>
    <w:rsid w:val="002E0BC0"/>
    <w:rsid w:val="00305758"/>
    <w:rsid w:val="00315D15"/>
    <w:rsid w:val="00320201"/>
    <w:rsid w:val="0032308D"/>
    <w:rsid w:val="003360BB"/>
    <w:rsid w:val="003362D5"/>
    <w:rsid w:val="003610EE"/>
    <w:rsid w:val="00383D23"/>
    <w:rsid w:val="003863F3"/>
    <w:rsid w:val="00394866"/>
    <w:rsid w:val="003C105B"/>
    <w:rsid w:val="003C472A"/>
    <w:rsid w:val="003D125E"/>
    <w:rsid w:val="003E1980"/>
    <w:rsid w:val="003E25B0"/>
    <w:rsid w:val="00413818"/>
    <w:rsid w:val="004757FA"/>
    <w:rsid w:val="004763E7"/>
    <w:rsid w:val="0049554E"/>
    <w:rsid w:val="004B375A"/>
    <w:rsid w:val="004D57FF"/>
    <w:rsid w:val="004D776A"/>
    <w:rsid w:val="004E4DE7"/>
    <w:rsid w:val="00510252"/>
    <w:rsid w:val="005172A3"/>
    <w:rsid w:val="00523A34"/>
    <w:rsid w:val="005343D5"/>
    <w:rsid w:val="00551D53"/>
    <w:rsid w:val="005737B7"/>
    <w:rsid w:val="00575044"/>
    <w:rsid w:val="00581214"/>
    <w:rsid w:val="005866A9"/>
    <w:rsid w:val="005878E7"/>
    <w:rsid w:val="00592306"/>
    <w:rsid w:val="005A536E"/>
    <w:rsid w:val="005A5F35"/>
    <w:rsid w:val="005B07BF"/>
    <w:rsid w:val="005C4707"/>
    <w:rsid w:val="005F4DC3"/>
    <w:rsid w:val="00600076"/>
    <w:rsid w:val="00605FC0"/>
    <w:rsid w:val="00630C45"/>
    <w:rsid w:val="006332C9"/>
    <w:rsid w:val="0064533E"/>
    <w:rsid w:val="00647C43"/>
    <w:rsid w:val="00661799"/>
    <w:rsid w:val="006635BA"/>
    <w:rsid w:val="00676C95"/>
    <w:rsid w:val="0069335E"/>
    <w:rsid w:val="006A1707"/>
    <w:rsid w:val="006D314C"/>
    <w:rsid w:val="006F074C"/>
    <w:rsid w:val="006F2B2E"/>
    <w:rsid w:val="006F61B5"/>
    <w:rsid w:val="007059E9"/>
    <w:rsid w:val="00721ED3"/>
    <w:rsid w:val="00732DF8"/>
    <w:rsid w:val="007348B6"/>
    <w:rsid w:val="0074115F"/>
    <w:rsid w:val="00752067"/>
    <w:rsid w:val="00754578"/>
    <w:rsid w:val="00765BD0"/>
    <w:rsid w:val="00780379"/>
    <w:rsid w:val="0079209B"/>
    <w:rsid w:val="007C7ADA"/>
    <w:rsid w:val="007E7E61"/>
    <w:rsid w:val="0081158B"/>
    <w:rsid w:val="00812D6D"/>
    <w:rsid w:val="008141D8"/>
    <w:rsid w:val="008315B5"/>
    <w:rsid w:val="00834D74"/>
    <w:rsid w:val="008406AD"/>
    <w:rsid w:val="00852134"/>
    <w:rsid w:val="00853069"/>
    <w:rsid w:val="00855EF2"/>
    <w:rsid w:val="00864F3F"/>
    <w:rsid w:val="008671E4"/>
    <w:rsid w:val="00875325"/>
    <w:rsid w:val="00884E2D"/>
    <w:rsid w:val="008C2220"/>
    <w:rsid w:val="008D0D82"/>
    <w:rsid w:val="008D636B"/>
    <w:rsid w:val="008E2535"/>
    <w:rsid w:val="008F3474"/>
    <w:rsid w:val="008F6557"/>
    <w:rsid w:val="00917BF9"/>
    <w:rsid w:val="00965A12"/>
    <w:rsid w:val="009A4CAE"/>
    <w:rsid w:val="009F0856"/>
    <w:rsid w:val="00A004BE"/>
    <w:rsid w:val="00A21529"/>
    <w:rsid w:val="00A22935"/>
    <w:rsid w:val="00A2391A"/>
    <w:rsid w:val="00A271AE"/>
    <w:rsid w:val="00A402FC"/>
    <w:rsid w:val="00A92741"/>
    <w:rsid w:val="00A96CB7"/>
    <w:rsid w:val="00AA15CA"/>
    <w:rsid w:val="00AB16D8"/>
    <w:rsid w:val="00AB7CED"/>
    <w:rsid w:val="00AC5BBE"/>
    <w:rsid w:val="00AF4D1A"/>
    <w:rsid w:val="00B041B3"/>
    <w:rsid w:val="00B10CD3"/>
    <w:rsid w:val="00B64F7D"/>
    <w:rsid w:val="00BA37E0"/>
    <w:rsid w:val="00BA422E"/>
    <w:rsid w:val="00BC7864"/>
    <w:rsid w:val="00BD352A"/>
    <w:rsid w:val="00C20007"/>
    <w:rsid w:val="00C27888"/>
    <w:rsid w:val="00C27B4F"/>
    <w:rsid w:val="00C543DA"/>
    <w:rsid w:val="00C57CCD"/>
    <w:rsid w:val="00C703AC"/>
    <w:rsid w:val="00C752C5"/>
    <w:rsid w:val="00C75DCA"/>
    <w:rsid w:val="00C87EAC"/>
    <w:rsid w:val="00C93089"/>
    <w:rsid w:val="00CA2F35"/>
    <w:rsid w:val="00CB6157"/>
    <w:rsid w:val="00CC6A3B"/>
    <w:rsid w:val="00CD3D7E"/>
    <w:rsid w:val="00CF1A2C"/>
    <w:rsid w:val="00D0264F"/>
    <w:rsid w:val="00D05964"/>
    <w:rsid w:val="00D2217B"/>
    <w:rsid w:val="00D44181"/>
    <w:rsid w:val="00D50BE3"/>
    <w:rsid w:val="00D83C56"/>
    <w:rsid w:val="00D93080"/>
    <w:rsid w:val="00D96164"/>
    <w:rsid w:val="00DB1B1E"/>
    <w:rsid w:val="00DC1DC0"/>
    <w:rsid w:val="00DC51C4"/>
    <w:rsid w:val="00DE294B"/>
    <w:rsid w:val="00DF7F82"/>
    <w:rsid w:val="00E008E1"/>
    <w:rsid w:val="00E04E57"/>
    <w:rsid w:val="00E27B1D"/>
    <w:rsid w:val="00E6283F"/>
    <w:rsid w:val="00E77F00"/>
    <w:rsid w:val="00E816A7"/>
    <w:rsid w:val="00EA620A"/>
    <w:rsid w:val="00ED5D91"/>
    <w:rsid w:val="00EE6E89"/>
    <w:rsid w:val="00EF1E8E"/>
    <w:rsid w:val="00F03420"/>
    <w:rsid w:val="00F20EC7"/>
    <w:rsid w:val="00F21D99"/>
    <w:rsid w:val="00F56972"/>
    <w:rsid w:val="00F66560"/>
    <w:rsid w:val="00F7454C"/>
    <w:rsid w:val="00F777BF"/>
    <w:rsid w:val="00F83B6E"/>
    <w:rsid w:val="00F94822"/>
    <w:rsid w:val="00F94F2A"/>
    <w:rsid w:val="00FA5272"/>
    <w:rsid w:val="00FB3BEB"/>
    <w:rsid w:val="00FE5547"/>
    <w:rsid w:val="00FE57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rsid w:val="006F61B5"/>
  </w:style>
  <w:style w:type="numbering" w:customStyle="1" w:styleId="ListNo0">
    <w:name w:val="List No"/>
    <w:uiPriority w:val="99"/>
    <w:semiHidden/>
    <w:unhideWhenUsed/>
    <w:rsid w:val="006F61B5"/>
  </w:style>
  <w:style w:type="numbering" w:customStyle="1" w:styleId="ListNo1">
    <w:name w:val="List No"/>
    <w:uiPriority w:val="99"/>
    <w:semiHidden/>
    <w:unhideWhenUsed/>
    <w:rsid w:val="006F61B5"/>
  </w:style>
  <w:style w:type="numbering" w:customStyle="1" w:styleId="ListNo2">
    <w:name w:val="List No"/>
    <w:uiPriority w:val="99"/>
    <w:semiHidden/>
    <w:unhideWhenUsed/>
    <w:rsid w:val="006F61B5"/>
  </w:style>
  <w:style w:type="numbering" w:customStyle="1" w:styleId="ListNo3">
    <w:name w:val="List No"/>
    <w:uiPriority w:val="99"/>
    <w:semiHidden/>
    <w:unhideWhenUsed/>
    <w:rsid w:val="006F61B5"/>
  </w:style>
  <w:style w:type="numbering" w:customStyle="1" w:styleId="ListNo4">
    <w:name w:val="List No"/>
    <w:uiPriority w:val="99"/>
    <w:semiHidden/>
    <w:unhideWhenUsed/>
    <w:rsid w:val="006F61B5"/>
  </w:style>
  <w:style w:type="numbering" w:customStyle="1" w:styleId="ListNo5">
    <w:name w:val="List No"/>
    <w:uiPriority w:val="99"/>
    <w:semiHidden/>
    <w:unhideWhenUsed/>
    <w:rsid w:val="006F61B5"/>
  </w:style>
  <w:style w:type="numbering" w:customStyle="1" w:styleId="ListNo6">
    <w:name w:val="List No"/>
    <w:uiPriority w:val="99"/>
    <w:semiHidden/>
    <w:unhideWhenUsed/>
    <w:rsid w:val="006F61B5"/>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Grey Bullet List,Grey Bullet Style,Sub Bullet,List Paragraph1,Normal 1,Table/Figure Heading,Bullets,List Paragraph 1,Table of contents numbered,footer text,Standard Paragraph,subsubpara,Citation List,BBD_List_Paragraph,Bullet List,normal"/>
    <w:basedOn w:val="Normal"/>
    <w:link w:val="ListParagraphChar"/>
    <w:uiPriority w:val="34"/>
    <w:qFormat/>
    <w:rsid w:val="007348B6"/>
    <w:pPr>
      <w:ind w:left="720"/>
      <w:contextualSpacing/>
    </w:pPr>
  </w:style>
  <w:style w:type="character" w:customStyle="1" w:styleId="ListParagraphChar">
    <w:name w:val="List Paragraph Char"/>
    <w:aliases w:val="Grey Bullet List Char,Grey Bullet Style Char,Sub Bullet Char,List Paragraph1 Char,Normal 1 Char,Table/Figure Heading Char,Bullets Char,List Paragraph 1 Char,Table of contents numbered Char,footer text Char,Standard Paragraph Char"/>
    <w:basedOn w:val="DefaultParagraphFont"/>
    <w:link w:val="ListParagraph"/>
    <w:uiPriority w:val="34"/>
    <w:qFormat/>
    <w:locked/>
    <w:rsid w:val="00DE294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E0BC0"/>
    <w:pPr>
      <w:tabs>
        <w:tab w:val="center" w:pos="4513"/>
        <w:tab w:val="right" w:pos="9026"/>
      </w:tabs>
    </w:pPr>
  </w:style>
  <w:style w:type="character" w:customStyle="1" w:styleId="HeaderChar">
    <w:name w:val="Header Char"/>
    <w:basedOn w:val="DefaultParagraphFont"/>
    <w:link w:val="Header"/>
    <w:uiPriority w:val="99"/>
    <w:rsid w:val="002E0BC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2022-09-29T12:12:00Z</dcterms:created>
  <dcterms:modified xsi:type="dcterms:W3CDTF">2022-09-29T12:12:00Z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