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E0" w:rsidRPr="001B0290" w:rsidRDefault="00EA735C" w:rsidP="001B0290">
      <w:pPr>
        <w:pStyle w:val="Heading1"/>
        <w:tabs>
          <w:tab w:val="left" w:pos="4251"/>
        </w:tabs>
        <w:ind w:left="1371"/>
        <w:jc w:val="left"/>
        <w:rPr>
          <w:sz w:val="20"/>
          <w:szCs w:val="20"/>
        </w:rPr>
      </w:pPr>
      <w:r w:rsidRPr="001B0290">
        <w:rPr>
          <w:sz w:val="20"/>
          <w:szCs w:val="20"/>
        </w:rPr>
        <w:t>NATIONAL ASSEMBLY QUESTION FOR WRITTEN REPLY QUESTION</w:t>
      </w:r>
      <w:r w:rsidRPr="001B0290">
        <w:rPr>
          <w:spacing w:val="-1"/>
          <w:sz w:val="20"/>
          <w:szCs w:val="20"/>
        </w:rPr>
        <w:t xml:space="preserve"> </w:t>
      </w:r>
      <w:r w:rsidR="001B0290">
        <w:rPr>
          <w:sz w:val="20"/>
          <w:szCs w:val="20"/>
        </w:rPr>
        <w:t xml:space="preserve">NUMBER: </w:t>
      </w:r>
      <w:r w:rsidRPr="001B0290">
        <w:rPr>
          <w:sz w:val="20"/>
          <w:szCs w:val="20"/>
        </w:rPr>
        <w:t>2546</w:t>
      </w:r>
    </w:p>
    <w:p w:rsidR="009047E0" w:rsidRPr="001B0290" w:rsidRDefault="00EA735C" w:rsidP="001B0290">
      <w:pPr>
        <w:ind w:left="438" w:right="437"/>
        <w:rPr>
          <w:b/>
          <w:sz w:val="20"/>
          <w:szCs w:val="20"/>
        </w:rPr>
      </w:pPr>
      <w:r w:rsidRPr="001B0290">
        <w:rPr>
          <w:b/>
          <w:sz w:val="20"/>
          <w:szCs w:val="20"/>
        </w:rPr>
        <w:t>DATE OF PUBLICATION IN INTERNAL QUESTION PAPER: 26 NOVEMBER 2021</w:t>
      </w:r>
    </w:p>
    <w:p w:rsidR="009047E0" w:rsidRPr="001B0290" w:rsidRDefault="00EA735C" w:rsidP="001B0290">
      <w:pPr>
        <w:ind w:left="1368" w:right="1368"/>
        <w:rPr>
          <w:b/>
          <w:sz w:val="20"/>
          <w:szCs w:val="20"/>
        </w:rPr>
      </w:pPr>
      <w:r w:rsidRPr="001B0290">
        <w:rPr>
          <w:b/>
          <w:sz w:val="20"/>
          <w:szCs w:val="20"/>
        </w:rPr>
        <w:t>INTERNAL QUESTION PAPER NUMBER: 29 - 2021</w:t>
      </w:r>
    </w:p>
    <w:p w:rsidR="009047E0" w:rsidRPr="001B0290" w:rsidRDefault="009047E0" w:rsidP="001B0290">
      <w:pPr>
        <w:pStyle w:val="BodyText"/>
        <w:rPr>
          <w:b/>
          <w:sz w:val="20"/>
          <w:szCs w:val="20"/>
        </w:rPr>
      </w:pPr>
    </w:p>
    <w:p w:rsidR="009047E0" w:rsidRPr="001B0290" w:rsidRDefault="00EA735C" w:rsidP="001B0290">
      <w:pPr>
        <w:ind w:left="860" w:right="131" w:hanging="720"/>
        <w:rPr>
          <w:b/>
          <w:sz w:val="20"/>
          <w:szCs w:val="20"/>
        </w:rPr>
      </w:pPr>
      <w:r w:rsidRPr="001B0290">
        <w:rPr>
          <w:b/>
          <w:sz w:val="20"/>
          <w:szCs w:val="20"/>
        </w:rPr>
        <w:t>2546. Ms L H Arries (EFF) to ask the Minist</w:t>
      </w:r>
      <w:r w:rsidRPr="001B0290">
        <w:rPr>
          <w:b/>
          <w:sz w:val="20"/>
          <w:szCs w:val="20"/>
        </w:rPr>
        <w:t>er of Social Development: [</w:t>
      </w:r>
      <w:r w:rsidRPr="001B0290">
        <w:rPr>
          <w:b/>
          <w:sz w:val="20"/>
          <w:szCs w:val="20"/>
        </w:rPr>
        <w:t></w:t>
      </w:r>
      <w:r w:rsidRPr="001B0290">
        <w:rPr>
          <w:b/>
          <w:sz w:val="20"/>
          <w:szCs w:val="20"/>
        </w:rPr>
        <w:t>351] [Question</w:t>
      </w:r>
      <w:r w:rsidRPr="001B0290">
        <w:rPr>
          <w:b/>
          <w:spacing w:val="-6"/>
          <w:sz w:val="20"/>
          <w:szCs w:val="20"/>
        </w:rPr>
        <w:t xml:space="preserve"> </w:t>
      </w:r>
      <w:r w:rsidRPr="001B0290">
        <w:rPr>
          <w:b/>
          <w:sz w:val="20"/>
          <w:szCs w:val="20"/>
        </w:rPr>
        <w:t>submitted</w:t>
      </w:r>
      <w:r w:rsidRPr="001B0290">
        <w:rPr>
          <w:b/>
          <w:spacing w:val="-8"/>
          <w:sz w:val="20"/>
          <w:szCs w:val="20"/>
        </w:rPr>
        <w:t xml:space="preserve"> </w:t>
      </w:r>
      <w:r w:rsidRPr="001B0290">
        <w:rPr>
          <w:b/>
          <w:sz w:val="20"/>
          <w:szCs w:val="20"/>
        </w:rPr>
        <w:t>for</w:t>
      </w:r>
      <w:r w:rsidRPr="001B0290">
        <w:rPr>
          <w:b/>
          <w:spacing w:val="-5"/>
          <w:sz w:val="20"/>
          <w:szCs w:val="20"/>
        </w:rPr>
        <w:t xml:space="preserve"> </w:t>
      </w:r>
      <w:r w:rsidRPr="001B0290">
        <w:rPr>
          <w:b/>
          <w:sz w:val="20"/>
          <w:szCs w:val="20"/>
        </w:rPr>
        <w:t>oral</w:t>
      </w:r>
      <w:r w:rsidRPr="001B0290">
        <w:rPr>
          <w:b/>
          <w:spacing w:val="-5"/>
          <w:sz w:val="20"/>
          <w:szCs w:val="20"/>
        </w:rPr>
        <w:t xml:space="preserve"> </w:t>
      </w:r>
      <w:r w:rsidRPr="001B0290">
        <w:rPr>
          <w:b/>
          <w:sz w:val="20"/>
          <w:szCs w:val="20"/>
        </w:rPr>
        <w:t>reply</w:t>
      </w:r>
      <w:r w:rsidRPr="001B0290">
        <w:rPr>
          <w:b/>
          <w:spacing w:val="-11"/>
          <w:sz w:val="20"/>
          <w:szCs w:val="20"/>
        </w:rPr>
        <w:t xml:space="preserve"> </w:t>
      </w:r>
      <w:r w:rsidRPr="001B0290">
        <w:rPr>
          <w:b/>
          <w:sz w:val="20"/>
          <w:szCs w:val="20"/>
        </w:rPr>
        <w:t>now</w:t>
      </w:r>
      <w:r w:rsidRPr="001B0290">
        <w:rPr>
          <w:b/>
          <w:spacing w:val="-4"/>
          <w:sz w:val="20"/>
          <w:szCs w:val="20"/>
        </w:rPr>
        <w:t xml:space="preserve"> </w:t>
      </w:r>
      <w:r w:rsidRPr="001B0290">
        <w:rPr>
          <w:b/>
          <w:sz w:val="20"/>
          <w:szCs w:val="20"/>
        </w:rPr>
        <w:t>placed</w:t>
      </w:r>
      <w:r w:rsidRPr="001B0290">
        <w:rPr>
          <w:b/>
          <w:spacing w:val="-5"/>
          <w:sz w:val="20"/>
          <w:szCs w:val="20"/>
        </w:rPr>
        <w:t xml:space="preserve"> </w:t>
      </w:r>
      <w:r w:rsidRPr="001B0290">
        <w:rPr>
          <w:b/>
          <w:sz w:val="20"/>
          <w:szCs w:val="20"/>
        </w:rPr>
        <w:t>for</w:t>
      </w:r>
      <w:r w:rsidRPr="001B0290">
        <w:rPr>
          <w:b/>
          <w:spacing w:val="-8"/>
          <w:sz w:val="20"/>
          <w:szCs w:val="20"/>
        </w:rPr>
        <w:t xml:space="preserve"> </w:t>
      </w:r>
      <w:r w:rsidRPr="001B0290">
        <w:rPr>
          <w:b/>
          <w:sz w:val="20"/>
          <w:szCs w:val="20"/>
        </w:rPr>
        <w:t>written</w:t>
      </w:r>
      <w:r w:rsidRPr="001B0290">
        <w:rPr>
          <w:b/>
          <w:spacing w:val="-7"/>
          <w:sz w:val="20"/>
          <w:szCs w:val="20"/>
        </w:rPr>
        <w:t xml:space="preserve"> </w:t>
      </w:r>
      <w:r w:rsidRPr="001B0290">
        <w:rPr>
          <w:b/>
          <w:sz w:val="20"/>
          <w:szCs w:val="20"/>
        </w:rPr>
        <w:t>reply</w:t>
      </w:r>
      <w:r w:rsidRPr="001B0290">
        <w:rPr>
          <w:b/>
          <w:spacing w:val="-12"/>
          <w:sz w:val="20"/>
          <w:szCs w:val="20"/>
        </w:rPr>
        <w:t xml:space="preserve"> </w:t>
      </w:r>
      <w:r w:rsidRPr="001B0290">
        <w:rPr>
          <w:b/>
          <w:sz w:val="20"/>
          <w:szCs w:val="20"/>
        </w:rPr>
        <w:t>because</w:t>
      </w:r>
      <w:r w:rsidRPr="001B0290">
        <w:rPr>
          <w:b/>
          <w:spacing w:val="-4"/>
          <w:sz w:val="20"/>
          <w:szCs w:val="20"/>
        </w:rPr>
        <w:t xml:space="preserve"> </w:t>
      </w:r>
      <w:r w:rsidRPr="001B0290">
        <w:rPr>
          <w:b/>
          <w:sz w:val="20"/>
          <w:szCs w:val="20"/>
        </w:rPr>
        <w:t>it is in excess of quota (Rule</w:t>
      </w:r>
      <w:r w:rsidRPr="001B0290">
        <w:rPr>
          <w:b/>
          <w:spacing w:val="-4"/>
          <w:sz w:val="20"/>
          <w:szCs w:val="20"/>
        </w:rPr>
        <w:t xml:space="preserve"> </w:t>
      </w:r>
      <w:r w:rsidRPr="001B0290">
        <w:rPr>
          <w:b/>
          <w:sz w:val="20"/>
          <w:szCs w:val="20"/>
        </w:rPr>
        <w:t>137(8))]:</w:t>
      </w:r>
    </w:p>
    <w:p w:rsidR="009047E0" w:rsidRPr="001B0290" w:rsidRDefault="009047E0" w:rsidP="001B0290">
      <w:pPr>
        <w:pStyle w:val="BodyText"/>
        <w:rPr>
          <w:b/>
          <w:sz w:val="20"/>
          <w:szCs w:val="20"/>
        </w:rPr>
      </w:pPr>
    </w:p>
    <w:p w:rsidR="009047E0" w:rsidRPr="001B0290" w:rsidRDefault="00EA735C" w:rsidP="001B0290">
      <w:pPr>
        <w:pStyle w:val="BodyText"/>
        <w:ind w:left="860" w:right="143"/>
        <w:rPr>
          <w:sz w:val="20"/>
          <w:szCs w:val="20"/>
        </w:rPr>
      </w:pPr>
      <w:r w:rsidRPr="001B0290">
        <w:rPr>
          <w:sz w:val="20"/>
          <w:szCs w:val="20"/>
        </w:rPr>
        <w:t>In light of the fact that orphaned children who grow up in orphanages and/or children’s homes are required to leave the homes after turning 18 years old, whereas these are the only homes and families they know, what interventions has she made to ensure tha</w:t>
      </w:r>
      <w:r w:rsidRPr="001B0290">
        <w:rPr>
          <w:sz w:val="20"/>
          <w:szCs w:val="20"/>
        </w:rPr>
        <w:t>t the children do not get lost, with nowhere to call home after turning 18?</w:t>
      </w:r>
    </w:p>
    <w:p w:rsidR="009047E0" w:rsidRPr="001B0290" w:rsidRDefault="00EA735C" w:rsidP="001B0290">
      <w:pPr>
        <w:pStyle w:val="BodyText"/>
        <w:ind w:left="1580"/>
        <w:rPr>
          <w:sz w:val="20"/>
          <w:szCs w:val="20"/>
        </w:rPr>
      </w:pPr>
      <w:r w:rsidRPr="001B0290">
        <w:rPr>
          <w:sz w:val="20"/>
          <w:szCs w:val="20"/>
        </w:rPr>
        <w:t>NW3014E</w:t>
      </w:r>
    </w:p>
    <w:p w:rsidR="009047E0" w:rsidRPr="001B0290" w:rsidRDefault="009047E0" w:rsidP="001B0290">
      <w:pPr>
        <w:pStyle w:val="BodyText"/>
        <w:rPr>
          <w:sz w:val="20"/>
          <w:szCs w:val="20"/>
        </w:rPr>
      </w:pPr>
    </w:p>
    <w:p w:rsidR="009047E0" w:rsidRPr="001B0290" w:rsidRDefault="009047E0" w:rsidP="001B0290">
      <w:pPr>
        <w:pStyle w:val="BodyText"/>
        <w:rPr>
          <w:sz w:val="20"/>
          <w:szCs w:val="20"/>
        </w:rPr>
      </w:pPr>
    </w:p>
    <w:p w:rsidR="009047E0" w:rsidRPr="001B0290" w:rsidRDefault="00EA735C" w:rsidP="001B0290">
      <w:pPr>
        <w:pStyle w:val="Heading1"/>
        <w:ind w:right="0"/>
        <w:jc w:val="left"/>
        <w:rPr>
          <w:sz w:val="20"/>
          <w:szCs w:val="20"/>
        </w:rPr>
      </w:pPr>
      <w:r w:rsidRPr="001B0290">
        <w:rPr>
          <w:sz w:val="20"/>
          <w:szCs w:val="20"/>
        </w:rPr>
        <w:t>REPLY:</w:t>
      </w:r>
    </w:p>
    <w:p w:rsidR="009047E0" w:rsidRPr="001B0290" w:rsidRDefault="009047E0" w:rsidP="001B0290">
      <w:pPr>
        <w:pStyle w:val="BodyText"/>
        <w:rPr>
          <w:b/>
          <w:sz w:val="20"/>
          <w:szCs w:val="20"/>
        </w:rPr>
      </w:pPr>
    </w:p>
    <w:p w:rsidR="009047E0" w:rsidRPr="001B0290" w:rsidRDefault="00EA735C" w:rsidP="001B0290">
      <w:pPr>
        <w:pStyle w:val="BodyText"/>
        <w:ind w:left="140" w:right="135"/>
        <w:rPr>
          <w:sz w:val="20"/>
          <w:szCs w:val="20"/>
        </w:rPr>
      </w:pPr>
      <w:r w:rsidRPr="001B0290">
        <w:rPr>
          <w:sz w:val="20"/>
          <w:szCs w:val="20"/>
        </w:rPr>
        <w:t>By</w:t>
      </w:r>
      <w:r w:rsidRPr="001B0290">
        <w:rPr>
          <w:spacing w:val="-8"/>
          <w:sz w:val="20"/>
          <w:szCs w:val="20"/>
        </w:rPr>
        <w:t xml:space="preserve"> </w:t>
      </w:r>
      <w:r w:rsidRPr="001B0290">
        <w:rPr>
          <w:sz w:val="20"/>
          <w:szCs w:val="20"/>
        </w:rPr>
        <w:t>their</w:t>
      </w:r>
      <w:r w:rsidRPr="001B0290">
        <w:rPr>
          <w:spacing w:val="-6"/>
          <w:sz w:val="20"/>
          <w:szCs w:val="20"/>
        </w:rPr>
        <w:t xml:space="preserve"> </w:t>
      </w:r>
      <w:r w:rsidRPr="001B0290">
        <w:rPr>
          <w:sz w:val="20"/>
          <w:szCs w:val="20"/>
        </w:rPr>
        <w:t>very</w:t>
      </w:r>
      <w:r w:rsidRPr="001B0290">
        <w:rPr>
          <w:spacing w:val="-7"/>
          <w:sz w:val="20"/>
          <w:szCs w:val="20"/>
        </w:rPr>
        <w:t xml:space="preserve"> </w:t>
      </w:r>
      <w:r w:rsidRPr="001B0290">
        <w:rPr>
          <w:sz w:val="20"/>
          <w:szCs w:val="20"/>
        </w:rPr>
        <w:t>own</w:t>
      </w:r>
      <w:r w:rsidRPr="001B0290">
        <w:rPr>
          <w:spacing w:val="-4"/>
          <w:sz w:val="20"/>
          <w:szCs w:val="20"/>
        </w:rPr>
        <w:t xml:space="preserve"> </w:t>
      </w:r>
      <w:r w:rsidRPr="001B0290">
        <w:rPr>
          <w:sz w:val="20"/>
          <w:szCs w:val="20"/>
        </w:rPr>
        <w:t>nature,</w:t>
      </w:r>
      <w:r w:rsidRPr="001B0290">
        <w:rPr>
          <w:spacing w:val="-5"/>
          <w:sz w:val="20"/>
          <w:szCs w:val="20"/>
        </w:rPr>
        <w:t xml:space="preserve"> </w:t>
      </w:r>
      <w:r w:rsidRPr="001B0290">
        <w:rPr>
          <w:sz w:val="20"/>
          <w:szCs w:val="20"/>
        </w:rPr>
        <w:t>Child</w:t>
      </w:r>
      <w:r w:rsidRPr="001B0290">
        <w:rPr>
          <w:spacing w:val="-6"/>
          <w:sz w:val="20"/>
          <w:szCs w:val="20"/>
        </w:rPr>
        <w:t xml:space="preserve"> </w:t>
      </w:r>
      <w:r w:rsidRPr="001B0290">
        <w:rPr>
          <w:sz w:val="20"/>
          <w:szCs w:val="20"/>
        </w:rPr>
        <w:t>and</w:t>
      </w:r>
      <w:r w:rsidRPr="001B0290">
        <w:rPr>
          <w:spacing w:val="-6"/>
          <w:sz w:val="20"/>
          <w:szCs w:val="20"/>
        </w:rPr>
        <w:t xml:space="preserve"> </w:t>
      </w:r>
      <w:r w:rsidRPr="001B0290">
        <w:rPr>
          <w:sz w:val="20"/>
          <w:szCs w:val="20"/>
        </w:rPr>
        <w:t>Youth</w:t>
      </w:r>
      <w:r w:rsidRPr="001B0290">
        <w:rPr>
          <w:spacing w:val="-4"/>
          <w:sz w:val="20"/>
          <w:szCs w:val="20"/>
        </w:rPr>
        <w:t xml:space="preserve"> </w:t>
      </w:r>
      <w:r w:rsidRPr="001B0290">
        <w:rPr>
          <w:sz w:val="20"/>
          <w:szCs w:val="20"/>
        </w:rPr>
        <w:t>Care</w:t>
      </w:r>
      <w:r w:rsidRPr="001B0290">
        <w:rPr>
          <w:spacing w:val="-5"/>
          <w:sz w:val="20"/>
          <w:szCs w:val="20"/>
        </w:rPr>
        <w:t xml:space="preserve"> </w:t>
      </w:r>
      <w:r w:rsidRPr="001B0290">
        <w:rPr>
          <w:sz w:val="20"/>
          <w:szCs w:val="20"/>
        </w:rPr>
        <w:t>Centres</w:t>
      </w:r>
      <w:r w:rsidRPr="001B0290">
        <w:rPr>
          <w:spacing w:val="-7"/>
          <w:sz w:val="20"/>
          <w:szCs w:val="20"/>
        </w:rPr>
        <w:t xml:space="preserve"> </w:t>
      </w:r>
      <w:r w:rsidRPr="001B0290">
        <w:rPr>
          <w:sz w:val="20"/>
          <w:szCs w:val="20"/>
        </w:rPr>
        <w:t>provides</w:t>
      </w:r>
      <w:r w:rsidRPr="001B0290">
        <w:rPr>
          <w:spacing w:val="-1"/>
          <w:sz w:val="20"/>
          <w:szCs w:val="20"/>
        </w:rPr>
        <w:t xml:space="preserve"> </w:t>
      </w:r>
      <w:r w:rsidRPr="001B0290">
        <w:rPr>
          <w:sz w:val="20"/>
          <w:szCs w:val="20"/>
        </w:rPr>
        <w:t>alternative</w:t>
      </w:r>
      <w:r w:rsidRPr="001B0290">
        <w:rPr>
          <w:spacing w:val="-3"/>
          <w:sz w:val="20"/>
          <w:szCs w:val="20"/>
        </w:rPr>
        <w:t xml:space="preserve"> </w:t>
      </w:r>
      <w:r w:rsidRPr="001B0290">
        <w:rPr>
          <w:sz w:val="20"/>
          <w:szCs w:val="20"/>
        </w:rPr>
        <w:t>care</w:t>
      </w:r>
      <w:r w:rsidRPr="001B0290">
        <w:rPr>
          <w:spacing w:val="-7"/>
          <w:sz w:val="20"/>
          <w:szCs w:val="20"/>
        </w:rPr>
        <w:t xml:space="preserve"> </w:t>
      </w:r>
      <w:r w:rsidRPr="001B0290">
        <w:rPr>
          <w:sz w:val="20"/>
          <w:szCs w:val="20"/>
        </w:rPr>
        <w:t>and support for children in need of care. The Children’s Act No 38 of 2005, Section 176 makes</w:t>
      </w:r>
      <w:r w:rsidRPr="001B0290">
        <w:rPr>
          <w:spacing w:val="-7"/>
          <w:sz w:val="20"/>
          <w:szCs w:val="20"/>
        </w:rPr>
        <w:t xml:space="preserve"> </w:t>
      </w:r>
      <w:r w:rsidRPr="001B0290">
        <w:rPr>
          <w:sz w:val="20"/>
          <w:szCs w:val="20"/>
        </w:rPr>
        <w:t>provision</w:t>
      </w:r>
      <w:r w:rsidRPr="001B0290">
        <w:rPr>
          <w:spacing w:val="-6"/>
          <w:sz w:val="20"/>
          <w:szCs w:val="20"/>
        </w:rPr>
        <w:t xml:space="preserve"> </w:t>
      </w:r>
      <w:r w:rsidRPr="001B0290">
        <w:rPr>
          <w:sz w:val="20"/>
          <w:szCs w:val="20"/>
        </w:rPr>
        <w:t>for</w:t>
      </w:r>
      <w:r w:rsidRPr="001B0290">
        <w:rPr>
          <w:spacing w:val="-5"/>
          <w:sz w:val="20"/>
          <w:szCs w:val="20"/>
        </w:rPr>
        <w:t xml:space="preserve"> </w:t>
      </w:r>
      <w:r w:rsidRPr="001B0290">
        <w:rPr>
          <w:sz w:val="20"/>
          <w:szCs w:val="20"/>
        </w:rPr>
        <w:t>children</w:t>
      </w:r>
      <w:r w:rsidRPr="001B0290">
        <w:rPr>
          <w:spacing w:val="-4"/>
          <w:sz w:val="20"/>
          <w:szCs w:val="20"/>
        </w:rPr>
        <w:t xml:space="preserve"> </w:t>
      </w:r>
      <w:r w:rsidRPr="001B0290">
        <w:rPr>
          <w:sz w:val="20"/>
          <w:szCs w:val="20"/>
        </w:rPr>
        <w:t>to</w:t>
      </w:r>
      <w:r w:rsidRPr="001B0290">
        <w:rPr>
          <w:spacing w:val="-4"/>
          <w:sz w:val="20"/>
          <w:szCs w:val="20"/>
        </w:rPr>
        <w:t xml:space="preserve"> </w:t>
      </w:r>
      <w:r w:rsidRPr="001B0290">
        <w:rPr>
          <w:sz w:val="20"/>
          <w:szCs w:val="20"/>
        </w:rPr>
        <w:t>remain</w:t>
      </w:r>
      <w:r w:rsidRPr="001B0290">
        <w:rPr>
          <w:spacing w:val="-4"/>
          <w:sz w:val="20"/>
          <w:szCs w:val="20"/>
        </w:rPr>
        <w:t xml:space="preserve"> </w:t>
      </w:r>
      <w:r w:rsidRPr="001B0290">
        <w:rPr>
          <w:sz w:val="20"/>
          <w:szCs w:val="20"/>
        </w:rPr>
        <w:t>in</w:t>
      </w:r>
      <w:r w:rsidRPr="001B0290">
        <w:rPr>
          <w:spacing w:val="-6"/>
          <w:sz w:val="20"/>
          <w:szCs w:val="20"/>
        </w:rPr>
        <w:t xml:space="preserve"> </w:t>
      </w:r>
      <w:r w:rsidRPr="001B0290">
        <w:rPr>
          <w:sz w:val="20"/>
          <w:szCs w:val="20"/>
        </w:rPr>
        <w:t>alternative</w:t>
      </w:r>
      <w:r w:rsidRPr="001B0290">
        <w:rPr>
          <w:spacing w:val="-4"/>
          <w:sz w:val="20"/>
          <w:szCs w:val="20"/>
        </w:rPr>
        <w:t xml:space="preserve"> </w:t>
      </w:r>
      <w:r w:rsidRPr="001B0290">
        <w:rPr>
          <w:sz w:val="20"/>
          <w:szCs w:val="20"/>
        </w:rPr>
        <w:t>care</w:t>
      </w:r>
      <w:r w:rsidRPr="001B0290">
        <w:rPr>
          <w:spacing w:val="1"/>
          <w:sz w:val="20"/>
          <w:szCs w:val="20"/>
        </w:rPr>
        <w:t xml:space="preserve"> </w:t>
      </w:r>
      <w:r w:rsidRPr="001B0290">
        <w:rPr>
          <w:sz w:val="20"/>
          <w:szCs w:val="20"/>
        </w:rPr>
        <w:t>beyond</w:t>
      </w:r>
      <w:r w:rsidRPr="001B0290">
        <w:rPr>
          <w:spacing w:val="-4"/>
          <w:sz w:val="20"/>
          <w:szCs w:val="20"/>
        </w:rPr>
        <w:t xml:space="preserve"> </w:t>
      </w:r>
      <w:r w:rsidRPr="001B0290">
        <w:rPr>
          <w:sz w:val="20"/>
          <w:szCs w:val="20"/>
        </w:rPr>
        <w:t>the</w:t>
      </w:r>
      <w:r w:rsidRPr="001B0290">
        <w:rPr>
          <w:spacing w:val="-5"/>
          <w:sz w:val="20"/>
          <w:szCs w:val="20"/>
        </w:rPr>
        <w:t xml:space="preserve"> </w:t>
      </w:r>
      <w:r w:rsidRPr="001B0290">
        <w:rPr>
          <w:sz w:val="20"/>
          <w:szCs w:val="20"/>
        </w:rPr>
        <w:t>age</w:t>
      </w:r>
      <w:r w:rsidRPr="001B0290">
        <w:rPr>
          <w:spacing w:val="-4"/>
          <w:sz w:val="20"/>
          <w:szCs w:val="20"/>
        </w:rPr>
        <w:t xml:space="preserve"> </w:t>
      </w:r>
      <w:r w:rsidRPr="001B0290">
        <w:rPr>
          <w:sz w:val="20"/>
          <w:szCs w:val="20"/>
        </w:rPr>
        <w:t>of</w:t>
      </w:r>
      <w:r w:rsidRPr="001B0290">
        <w:rPr>
          <w:spacing w:val="-4"/>
          <w:sz w:val="20"/>
          <w:szCs w:val="20"/>
        </w:rPr>
        <w:t xml:space="preserve"> </w:t>
      </w:r>
      <w:r w:rsidRPr="001B0290">
        <w:rPr>
          <w:sz w:val="20"/>
          <w:szCs w:val="20"/>
        </w:rPr>
        <w:t>18</w:t>
      </w:r>
      <w:r w:rsidRPr="001B0290">
        <w:rPr>
          <w:spacing w:val="-4"/>
          <w:sz w:val="20"/>
          <w:szCs w:val="20"/>
        </w:rPr>
        <w:t xml:space="preserve"> </w:t>
      </w:r>
      <w:r w:rsidRPr="001B0290">
        <w:rPr>
          <w:sz w:val="20"/>
          <w:szCs w:val="20"/>
        </w:rPr>
        <w:t>years:</w:t>
      </w:r>
    </w:p>
    <w:p w:rsidR="009047E0" w:rsidRPr="001B0290" w:rsidRDefault="009047E0" w:rsidP="001B0290">
      <w:pPr>
        <w:pStyle w:val="BodyText"/>
        <w:rPr>
          <w:sz w:val="20"/>
          <w:szCs w:val="20"/>
        </w:rPr>
      </w:pPr>
    </w:p>
    <w:p w:rsidR="009047E0" w:rsidRPr="001B0290" w:rsidRDefault="00EA735C" w:rsidP="001B0290">
      <w:pPr>
        <w:pStyle w:val="BodyText"/>
        <w:ind w:left="140" w:right="135"/>
        <w:rPr>
          <w:sz w:val="20"/>
          <w:szCs w:val="20"/>
        </w:rPr>
      </w:pPr>
      <w:r w:rsidRPr="001B0290">
        <w:rPr>
          <w:sz w:val="20"/>
          <w:szCs w:val="20"/>
        </w:rPr>
        <w:t>Section 176(1) of the Act makes provision for a child placed in alternative care after reaching 18 years to remain in that care until the end of the year in which that person reaches the age of 18 years.</w:t>
      </w:r>
    </w:p>
    <w:p w:rsidR="009047E0" w:rsidRPr="001B0290" w:rsidRDefault="009047E0" w:rsidP="001B0290">
      <w:pPr>
        <w:pStyle w:val="BodyText"/>
        <w:rPr>
          <w:sz w:val="20"/>
          <w:szCs w:val="20"/>
        </w:rPr>
      </w:pPr>
    </w:p>
    <w:p w:rsidR="009047E0" w:rsidRPr="001B0290" w:rsidRDefault="00EA735C" w:rsidP="001B0290">
      <w:pPr>
        <w:pStyle w:val="BodyText"/>
        <w:ind w:left="140" w:right="134"/>
        <w:rPr>
          <w:sz w:val="20"/>
          <w:szCs w:val="20"/>
        </w:rPr>
      </w:pPr>
      <w:r w:rsidRPr="001B0290">
        <w:rPr>
          <w:sz w:val="20"/>
          <w:szCs w:val="20"/>
        </w:rPr>
        <w:t>Subsection (2) of the Act makes provision for the P</w:t>
      </w:r>
      <w:r w:rsidRPr="001B0290">
        <w:rPr>
          <w:sz w:val="20"/>
          <w:szCs w:val="20"/>
        </w:rPr>
        <w:t>rovincial Head of Social development</w:t>
      </w:r>
      <w:r w:rsidRPr="001B0290">
        <w:rPr>
          <w:spacing w:val="-5"/>
          <w:sz w:val="20"/>
          <w:szCs w:val="20"/>
        </w:rPr>
        <w:t xml:space="preserve"> </w:t>
      </w:r>
      <w:r w:rsidRPr="001B0290">
        <w:rPr>
          <w:sz w:val="20"/>
          <w:szCs w:val="20"/>
        </w:rPr>
        <w:t>to</w:t>
      </w:r>
      <w:r w:rsidRPr="001B0290">
        <w:rPr>
          <w:spacing w:val="-6"/>
          <w:sz w:val="20"/>
          <w:szCs w:val="20"/>
        </w:rPr>
        <w:t xml:space="preserve"> </w:t>
      </w:r>
      <w:r w:rsidRPr="001B0290">
        <w:rPr>
          <w:sz w:val="20"/>
          <w:szCs w:val="20"/>
        </w:rPr>
        <w:t>allow</w:t>
      </w:r>
      <w:r w:rsidRPr="001B0290">
        <w:rPr>
          <w:spacing w:val="-7"/>
          <w:sz w:val="20"/>
          <w:szCs w:val="20"/>
        </w:rPr>
        <w:t xml:space="preserve"> </w:t>
      </w:r>
      <w:r w:rsidRPr="001B0290">
        <w:rPr>
          <w:sz w:val="20"/>
          <w:szCs w:val="20"/>
        </w:rPr>
        <w:t>a</w:t>
      </w:r>
      <w:r w:rsidRPr="001B0290">
        <w:rPr>
          <w:spacing w:val="-4"/>
          <w:sz w:val="20"/>
          <w:szCs w:val="20"/>
        </w:rPr>
        <w:t xml:space="preserve"> </w:t>
      </w:r>
      <w:r w:rsidRPr="001B0290">
        <w:rPr>
          <w:sz w:val="20"/>
          <w:szCs w:val="20"/>
        </w:rPr>
        <w:t>young</w:t>
      </w:r>
      <w:r w:rsidRPr="001B0290">
        <w:rPr>
          <w:spacing w:val="-6"/>
          <w:sz w:val="20"/>
          <w:szCs w:val="20"/>
        </w:rPr>
        <w:t xml:space="preserve"> </w:t>
      </w:r>
      <w:r w:rsidRPr="001B0290">
        <w:rPr>
          <w:sz w:val="20"/>
          <w:szCs w:val="20"/>
        </w:rPr>
        <w:t>person</w:t>
      </w:r>
      <w:r w:rsidRPr="001B0290">
        <w:rPr>
          <w:spacing w:val="-3"/>
          <w:sz w:val="20"/>
          <w:szCs w:val="20"/>
        </w:rPr>
        <w:t xml:space="preserve"> </w:t>
      </w:r>
      <w:r w:rsidRPr="001B0290">
        <w:rPr>
          <w:sz w:val="20"/>
          <w:szCs w:val="20"/>
        </w:rPr>
        <w:t>who</w:t>
      </w:r>
      <w:r w:rsidRPr="001B0290">
        <w:rPr>
          <w:spacing w:val="-4"/>
          <w:sz w:val="20"/>
          <w:szCs w:val="20"/>
        </w:rPr>
        <w:t xml:space="preserve"> </w:t>
      </w:r>
      <w:r w:rsidRPr="001B0290">
        <w:rPr>
          <w:sz w:val="20"/>
          <w:szCs w:val="20"/>
        </w:rPr>
        <w:t>has</w:t>
      </w:r>
      <w:r w:rsidRPr="001B0290">
        <w:rPr>
          <w:spacing w:val="-3"/>
          <w:sz w:val="20"/>
          <w:szCs w:val="20"/>
        </w:rPr>
        <w:t xml:space="preserve"> </w:t>
      </w:r>
      <w:r w:rsidRPr="001B0290">
        <w:rPr>
          <w:sz w:val="20"/>
          <w:szCs w:val="20"/>
        </w:rPr>
        <w:t>reached</w:t>
      </w:r>
      <w:r w:rsidRPr="001B0290">
        <w:rPr>
          <w:spacing w:val="-4"/>
          <w:sz w:val="20"/>
          <w:szCs w:val="20"/>
        </w:rPr>
        <w:t xml:space="preserve"> </w:t>
      </w:r>
      <w:r w:rsidRPr="001B0290">
        <w:rPr>
          <w:sz w:val="20"/>
          <w:szCs w:val="20"/>
        </w:rPr>
        <w:t>the</w:t>
      </w:r>
      <w:r w:rsidRPr="001B0290">
        <w:rPr>
          <w:spacing w:val="-4"/>
          <w:sz w:val="20"/>
          <w:szCs w:val="20"/>
        </w:rPr>
        <w:t xml:space="preserve"> </w:t>
      </w:r>
      <w:r w:rsidRPr="001B0290">
        <w:rPr>
          <w:sz w:val="20"/>
          <w:szCs w:val="20"/>
        </w:rPr>
        <w:t>age</w:t>
      </w:r>
      <w:r w:rsidRPr="001B0290">
        <w:rPr>
          <w:spacing w:val="-6"/>
          <w:sz w:val="20"/>
          <w:szCs w:val="20"/>
        </w:rPr>
        <w:t xml:space="preserve"> </w:t>
      </w:r>
      <w:r w:rsidRPr="001B0290">
        <w:rPr>
          <w:sz w:val="20"/>
          <w:szCs w:val="20"/>
        </w:rPr>
        <w:t>of</w:t>
      </w:r>
      <w:r w:rsidRPr="001B0290">
        <w:rPr>
          <w:spacing w:val="-2"/>
          <w:sz w:val="20"/>
          <w:szCs w:val="20"/>
        </w:rPr>
        <w:t xml:space="preserve"> </w:t>
      </w:r>
      <w:r w:rsidRPr="001B0290">
        <w:rPr>
          <w:sz w:val="20"/>
          <w:szCs w:val="20"/>
        </w:rPr>
        <w:t>18</w:t>
      </w:r>
      <w:r w:rsidRPr="001B0290">
        <w:rPr>
          <w:spacing w:val="3"/>
          <w:sz w:val="20"/>
          <w:szCs w:val="20"/>
        </w:rPr>
        <w:t xml:space="preserve"> </w:t>
      </w:r>
      <w:r w:rsidRPr="001B0290">
        <w:rPr>
          <w:sz w:val="20"/>
          <w:szCs w:val="20"/>
        </w:rPr>
        <w:t>years</w:t>
      </w:r>
      <w:r w:rsidRPr="001B0290">
        <w:rPr>
          <w:spacing w:val="-5"/>
          <w:sz w:val="20"/>
          <w:szCs w:val="20"/>
        </w:rPr>
        <w:t xml:space="preserve"> </w:t>
      </w:r>
      <w:r w:rsidRPr="001B0290">
        <w:rPr>
          <w:sz w:val="20"/>
          <w:szCs w:val="20"/>
        </w:rPr>
        <w:t>to</w:t>
      </w:r>
      <w:r w:rsidRPr="001B0290">
        <w:rPr>
          <w:spacing w:val="-2"/>
          <w:sz w:val="20"/>
          <w:szCs w:val="20"/>
        </w:rPr>
        <w:t xml:space="preserve"> </w:t>
      </w:r>
      <w:r w:rsidRPr="001B0290">
        <w:rPr>
          <w:sz w:val="20"/>
          <w:szCs w:val="20"/>
        </w:rPr>
        <w:t>remain in alternative care until the end of the year in which he or she reaches the age of 21 years</w:t>
      </w:r>
      <w:r w:rsidRPr="001B0290">
        <w:rPr>
          <w:spacing w:val="-1"/>
          <w:sz w:val="20"/>
          <w:szCs w:val="20"/>
        </w:rPr>
        <w:t xml:space="preserve"> </w:t>
      </w:r>
      <w:r w:rsidRPr="001B0290">
        <w:rPr>
          <w:sz w:val="20"/>
          <w:szCs w:val="20"/>
        </w:rPr>
        <w:t>if:</w:t>
      </w:r>
    </w:p>
    <w:p w:rsidR="009047E0" w:rsidRPr="001B0290" w:rsidRDefault="009047E0" w:rsidP="001B0290">
      <w:pPr>
        <w:pStyle w:val="BodyText"/>
        <w:rPr>
          <w:sz w:val="20"/>
          <w:szCs w:val="20"/>
        </w:rPr>
      </w:pPr>
    </w:p>
    <w:p w:rsidR="009047E0" w:rsidRPr="001B0290" w:rsidRDefault="00EA735C" w:rsidP="001B0290">
      <w:pPr>
        <w:pStyle w:val="ListParagraph"/>
        <w:numPr>
          <w:ilvl w:val="0"/>
          <w:numId w:val="1"/>
        </w:numPr>
        <w:tabs>
          <w:tab w:val="left" w:pos="501"/>
        </w:tabs>
        <w:ind w:hanging="361"/>
        <w:rPr>
          <w:sz w:val="20"/>
          <w:szCs w:val="20"/>
        </w:rPr>
      </w:pPr>
      <w:r w:rsidRPr="001B0290">
        <w:rPr>
          <w:sz w:val="20"/>
          <w:szCs w:val="20"/>
        </w:rPr>
        <w:t>The current alternative care-giver is willing and a</w:t>
      </w:r>
      <w:r w:rsidRPr="001B0290">
        <w:rPr>
          <w:sz w:val="20"/>
          <w:szCs w:val="20"/>
        </w:rPr>
        <w:t>ble to care for that person;</w:t>
      </w:r>
      <w:r w:rsidRPr="001B0290">
        <w:rPr>
          <w:spacing w:val="-21"/>
          <w:sz w:val="20"/>
          <w:szCs w:val="20"/>
        </w:rPr>
        <w:t xml:space="preserve"> </w:t>
      </w:r>
      <w:r w:rsidRPr="001B0290">
        <w:rPr>
          <w:sz w:val="20"/>
          <w:szCs w:val="20"/>
        </w:rPr>
        <w:t>and</w:t>
      </w:r>
    </w:p>
    <w:p w:rsidR="009047E0" w:rsidRPr="001B0290" w:rsidRDefault="00EA735C" w:rsidP="001B0290">
      <w:pPr>
        <w:pStyle w:val="ListParagraph"/>
        <w:numPr>
          <w:ilvl w:val="0"/>
          <w:numId w:val="1"/>
        </w:numPr>
        <w:tabs>
          <w:tab w:val="left" w:pos="499"/>
        </w:tabs>
        <w:ind w:left="140" w:right="136" w:firstLine="0"/>
        <w:rPr>
          <w:sz w:val="20"/>
          <w:szCs w:val="20"/>
        </w:rPr>
      </w:pPr>
      <w:r w:rsidRPr="001B0290">
        <w:rPr>
          <w:sz w:val="20"/>
          <w:szCs w:val="20"/>
        </w:rPr>
        <w:t>The</w:t>
      </w:r>
      <w:r w:rsidRPr="001B0290">
        <w:rPr>
          <w:spacing w:val="-4"/>
          <w:sz w:val="20"/>
          <w:szCs w:val="20"/>
        </w:rPr>
        <w:t xml:space="preserve"> </w:t>
      </w:r>
      <w:r w:rsidRPr="001B0290">
        <w:rPr>
          <w:sz w:val="20"/>
          <w:szCs w:val="20"/>
        </w:rPr>
        <w:t>continued</w:t>
      </w:r>
      <w:r w:rsidRPr="001B0290">
        <w:rPr>
          <w:spacing w:val="-3"/>
          <w:sz w:val="20"/>
          <w:szCs w:val="20"/>
        </w:rPr>
        <w:t xml:space="preserve"> </w:t>
      </w:r>
      <w:r w:rsidRPr="001B0290">
        <w:rPr>
          <w:sz w:val="20"/>
          <w:szCs w:val="20"/>
        </w:rPr>
        <w:t>stay</w:t>
      </w:r>
      <w:r w:rsidRPr="001B0290">
        <w:rPr>
          <w:spacing w:val="-4"/>
          <w:sz w:val="20"/>
          <w:szCs w:val="20"/>
        </w:rPr>
        <w:t xml:space="preserve"> </w:t>
      </w:r>
      <w:r w:rsidRPr="001B0290">
        <w:rPr>
          <w:sz w:val="20"/>
          <w:szCs w:val="20"/>
        </w:rPr>
        <w:t>in</w:t>
      </w:r>
      <w:r w:rsidRPr="001B0290">
        <w:rPr>
          <w:spacing w:val="-3"/>
          <w:sz w:val="20"/>
          <w:szCs w:val="20"/>
        </w:rPr>
        <w:t xml:space="preserve"> </w:t>
      </w:r>
      <w:r w:rsidRPr="001B0290">
        <w:rPr>
          <w:sz w:val="20"/>
          <w:szCs w:val="20"/>
        </w:rPr>
        <w:t>that</w:t>
      </w:r>
      <w:r w:rsidRPr="001B0290">
        <w:rPr>
          <w:spacing w:val="-4"/>
          <w:sz w:val="20"/>
          <w:szCs w:val="20"/>
        </w:rPr>
        <w:t xml:space="preserve"> </w:t>
      </w:r>
      <w:r w:rsidRPr="001B0290">
        <w:rPr>
          <w:sz w:val="20"/>
          <w:szCs w:val="20"/>
        </w:rPr>
        <w:t>care</w:t>
      </w:r>
      <w:r w:rsidRPr="001B0290">
        <w:rPr>
          <w:spacing w:val="-3"/>
          <w:sz w:val="20"/>
          <w:szCs w:val="20"/>
        </w:rPr>
        <w:t xml:space="preserve"> </w:t>
      </w:r>
      <w:r w:rsidRPr="001B0290">
        <w:rPr>
          <w:sz w:val="20"/>
          <w:szCs w:val="20"/>
        </w:rPr>
        <w:t>is</w:t>
      </w:r>
      <w:r w:rsidRPr="001B0290">
        <w:rPr>
          <w:spacing w:val="-4"/>
          <w:sz w:val="20"/>
          <w:szCs w:val="20"/>
        </w:rPr>
        <w:t xml:space="preserve"> </w:t>
      </w:r>
      <w:r w:rsidRPr="001B0290">
        <w:rPr>
          <w:sz w:val="20"/>
          <w:szCs w:val="20"/>
        </w:rPr>
        <w:t>necessary</w:t>
      </w:r>
      <w:r w:rsidRPr="001B0290">
        <w:rPr>
          <w:spacing w:val="-4"/>
          <w:sz w:val="20"/>
          <w:szCs w:val="20"/>
        </w:rPr>
        <w:t xml:space="preserve"> </w:t>
      </w:r>
      <w:r w:rsidRPr="001B0290">
        <w:rPr>
          <w:sz w:val="20"/>
          <w:szCs w:val="20"/>
        </w:rPr>
        <w:t>to</w:t>
      </w:r>
      <w:r w:rsidRPr="001B0290">
        <w:rPr>
          <w:spacing w:val="-3"/>
          <w:sz w:val="20"/>
          <w:szCs w:val="20"/>
        </w:rPr>
        <w:t xml:space="preserve"> </w:t>
      </w:r>
      <w:r w:rsidRPr="001B0290">
        <w:rPr>
          <w:sz w:val="20"/>
          <w:szCs w:val="20"/>
        </w:rPr>
        <w:t>enable</w:t>
      </w:r>
      <w:r w:rsidRPr="001B0290">
        <w:rPr>
          <w:spacing w:val="-3"/>
          <w:sz w:val="20"/>
          <w:szCs w:val="20"/>
        </w:rPr>
        <w:t xml:space="preserve"> </w:t>
      </w:r>
      <w:r w:rsidRPr="001B0290">
        <w:rPr>
          <w:sz w:val="20"/>
          <w:szCs w:val="20"/>
        </w:rPr>
        <w:t>that</w:t>
      </w:r>
      <w:r w:rsidRPr="001B0290">
        <w:rPr>
          <w:spacing w:val="-5"/>
          <w:sz w:val="20"/>
          <w:szCs w:val="20"/>
        </w:rPr>
        <w:t xml:space="preserve"> </w:t>
      </w:r>
      <w:r w:rsidRPr="001B0290">
        <w:rPr>
          <w:sz w:val="20"/>
          <w:szCs w:val="20"/>
        </w:rPr>
        <w:t>person</w:t>
      </w:r>
      <w:r w:rsidRPr="001B0290">
        <w:rPr>
          <w:spacing w:val="-3"/>
          <w:sz w:val="20"/>
          <w:szCs w:val="20"/>
        </w:rPr>
        <w:t xml:space="preserve"> </w:t>
      </w:r>
      <w:r w:rsidRPr="001B0290">
        <w:rPr>
          <w:sz w:val="20"/>
          <w:szCs w:val="20"/>
        </w:rPr>
        <w:t>to</w:t>
      </w:r>
      <w:r w:rsidRPr="001B0290">
        <w:rPr>
          <w:spacing w:val="-3"/>
          <w:sz w:val="20"/>
          <w:szCs w:val="20"/>
        </w:rPr>
        <w:t xml:space="preserve"> </w:t>
      </w:r>
      <w:r w:rsidRPr="001B0290">
        <w:rPr>
          <w:sz w:val="20"/>
          <w:szCs w:val="20"/>
        </w:rPr>
        <w:t>complete</w:t>
      </w:r>
      <w:r w:rsidRPr="001B0290">
        <w:rPr>
          <w:spacing w:val="-3"/>
          <w:sz w:val="20"/>
          <w:szCs w:val="20"/>
        </w:rPr>
        <w:t xml:space="preserve"> </w:t>
      </w:r>
      <w:r w:rsidRPr="001B0290">
        <w:rPr>
          <w:sz w:val="20"/>
          <w:szCs w:val="20"/>
        </w:rPr>
        <w:t>his or her grade 12, higher education, college education, internship or learnership and Subsection (c) indicates that an application contemplated in subsection (2) must be submitted</w:t>
      </w:r>
      <w:r w:rsidRPr="001B0290">
        <w:rPr>
          <w:spacing w:val="-6"/>
          <w:sz w:val="20"/>
          <w:szCs w:val="20"/>
        </w:rPr>
        <w:t xml:space="preserve"> </w:t>
      </w:r>
      <w:r w:rsidRPr="001B0290">
        <w:rPr>
          <w:sz w:val="20"/>
          <w:szCs w:val="20"/>
        </w:rPr>
        <w:t>before</w:t>
      </w:r>
      <w:r w:rsidRPr="001B0290">
        <w:rPr>
          <w:spacing w:val="-4"/>
          <w:sz w:val="20"/>
          <w:szCs w:val="20"/>
        </w:rPr>
        <w:t xml:space="preserve"> </w:t>
      </w:r>
      <w:r w:rsidRPr="001B0290">
        <w:rPr>
          <w:sz w:val="20"/>
          <w:szCs w:val="20"/>
        </w:rPr>
        <w:t>the</w:t>
      </w:r>
      <w:r w:rsidRPr="001B0290">
        <w:rPr>
          <w:spacing w:val="-4"/>
          <w:sz w:val="20"/>
          <w:szCs w:val="20"/>
        </w:rPr>
        <w:t xml:space="preserve"> </w:t>
      </w:r>
      <w:r w:rsidRPr="001B0290">
        <w:rPr>
          <w:sz w:val="20"/>
          <w:szCs w:val="20"/>
        </w:rPr>
        <w:t>end</w:t>
      </w:r>
      <w:r w:rsidRPr="001B0290">
        <w:rPr>
          <w:spacing w:val="-4"/>
          <w:sz w:val="20"/>
          <w:szCs w:val="20"/>
        </w:rPr>
        <w:t xml:space="preserve"> </w:t>
      </w:r>
      <w:r w:rsidRPr="001B0290">
        <w:rPr>
          <w:sz w:val="20"/>
          <w:szCs w:val="20"/>
        </w:rPr>
        <w:t>of</w:t>
      </w:r>
      <w:r w:rsidRPr="001B0290">
        <w:rPr>
          <w:spacing w:val="-4"/>
          <w:sz w:val="20"/>
          <w:szCs w:val="20"/>
        </w:rPr>
        <w:t xml:space="preserve"> </w:t>
      </w:r>
      <w:r w:rsidRPr="001B0290">
        <w:rPr>
          <w:sz w:val="20"/>
          <w:szCs w:val="20"/>
        </w:rPr>
        <w:t>the</w:t>
      </w:r>
      <w:r w:rsidRPr="001B0290">
        <w:rPr>
          <w:spacing w:val="-6"/>
          <w:sz w:val="20"/>
          <w:szCs w:val="20"/>
        </w:rPr>
        <w:t xml:space="preserve"> </w:t>
      </w:r>
      <w:r w:rsidRPr="001B0290">
        <w:rPr>
          <w:sz w:val="20"/>
          <w:szCs w:val="20"/>
        </w:rPr>
        <w:t>year</w:t>
      </w:r>
      <w:r w:rsidRPr="001B0290">
        <w:rPr>
          <w:spacing w:val="-5"/>
          <w:sz w:val="20"/>
          <w:szCs w:val="20"/>
        </w:rPr>
        <w:t xml:space="preserve"> </w:t>
      </w:r>
      <w:r w:rsidRPr="001B0290">
        <w:rPr>
          <w:sz w:val="20"/>
          <w:szCs w:val="20"/>
        </w:rPr>
        <w:t>in</w:t>
      </w:r>
      <w:r w:rsidRPr="001B0290">
        <w:rPr>
          <w:spacing w:val="-4"/>
          <w:sz w:val="20"/>
          <w:szCs w:val="20"/>
        </w:rPr>
        <w:t xml:space="preserve"> </w:t>
      </w:r>
      <w:r w:rsidRPr="001B0290">
        <w:rPr>
          <w:sz w:val="20"/>
          <w:szCs w:val="20"/>
        </w:rPr>
        <w:t>which</w:t>
      </w:r>
      <w:r w:rsidRPr="001B0290">
        <w:rPr>
          <w:spacing w:val="-4"/>
          <w:sz w:val="20"/>
          <w:szCs w:val="20"/>
        </w:rPr>
        <w:t xml:space="preserve"> </w:t>
      </w:r>
      <w:r w:rsidRPr="001B0290">
        <w:rPr>
          <w:sz w:val="20"/>
          <w:szCs w:val="20"/>
        </w:rPr>
        <w:t>the</w:t>
      </w:r>
      <w:r w:rsidRPr="001B0290">
        <w:rPr>
          <w:spacing w:val="-4"/>
          <w:sz w:val="20"/>
          <w:szCs w:val="20"/>
        </w:rPr>
        <w:t xml:space="preserve"> </w:t>
      </w:r>
      <w:r w:rsidRPr="001B0290">
        <w:rPr>
          <w:sz w:val="20"/>
          <w:szCs w:val="20"/>
        </w:rPr>
        <w:t>relevant</w:t>
      </w:r>
      <w:r w:rsidRPr="001B0290">
        <w:rPr>
          <w:spacing w:val="-4"/>
          <w:sz w:val="20"/>
          <w:szCs w:val="20"/>
        </w:rPr>
        <w:t xml:space="preserve"> </w:t>
      </w:r>
      <w:r w:rsidRPr="001B0290">
        <w:rPr>
          <w:sz w:val="20"/>
          <w:szCs w:val="20"/>
        </w:rPr>
        <w:t>child</w:t>
      </w:r>
      <w:r w:rsidRPr="001B0290">
        <w:rPr>
          <w:spacing w:val="-4"/>
          <w:sz w:val="20"/>
          <w:szCs w:val="20"/>
        </w:rPr>
        <w:t xml:space="preserve"> </w:t>
      </w:r>
      <w:r w:rsidRPr="001B0290">
        <w:rPr>
          <w:sz w:val="20"/>
          <w:szCs w:val="20"/>
        </w:rPr>
        <w:t>reaches</w:t>
      </w:r>
      <w:r w:rsidRPr="001B0290">
        <w:rPr>
          <w:spacing w:val="-4"/>
          <w:sz w:val="20"/>
          <w:szCs w:val="20"/>
        </w:rPr>
        <w:t xml:space="preserve"> </w:t>
      </w:r>
      <w:r w:rsidRPr="001B0290">
        <w:rPr>
          <w:sz w:val="20"/>
          <w:szCs w:val="20"/>
        </w:rPr>
        <w:t>the</w:t>
      </w:r>
      <w:r w:rsidRPr="001B0290">
        <w:rPr>
          <w:spacing w:val="-4"/>
          <w:sz w:val="20"/>
          <w:szCs w:val="20"/>
        </w:rPr>
        <w:t xml:space="preserve"> </w:t>
      </w:r>
      <w:r w:rsidRPr="001B0290">
        <w:rPr>
          <w:sz w:val="20"/>
          <w:szCs w:val="20"/>
        </w:rPr>
        <w:t>age</w:t>
      </w:r>
      <w:r w:rsidRPr="001B0290">
        <w:rPr>
          <w:spacing w:val="-4"/>
          <w:sz w:val="20"/>
          <w:szCs w:val="20"/>
        </w:rPr>
        <w:t xml:space="preserve"> </w:t>
      </w:r>
      <w:r w:rsidRPr="001B0290">
        <w:rPr>
          <w:sz w:val="20"/>
          <w:szCs w:val="20"/>
        </w:rPr>
        <w:t>of</w:t>
      </w:r>
      <w:r w:rsidRPr="001B0290">
        <w:rPr>
          <w:spacing w:val="4"/>
          <w:sz w:val="20"/>
          <w:szCs w:val="20"/>
        </w:rPr>
        <w:t xml:space="preserve"> </w:t>
      </w:r>
      <w:r w:rsidRPr="001B0290">
        <w:rPr>
          <w:sz w:val="20"/>
          <w:szCs w:val="20"/>
        </w:rPr>
        <w:t>18 years, but a late application may be condoned, upon good cause shown, if such application is submitted within three months after such</w:t>
      </w:r>
      <w:r w:rsidRPr="001B0290">
        <w:rPr>
          <w:spacing w:val="-6"/>
          <w:sz w:val="20"/>
          <w:szCs w:val="20"/>
        </w:rPr>
        <w:t xml:space="preserve"> </w:t>
      </w:r>
      <w:r w:rsidRPr="001B0290">
        <w:rPr>
          <w:sz w:val="20"/>
          <w:szCs w:val="20"/>
        </w:rPr>
        <w:t>date.</w:t>
      </w:r>
    </w:p>
    <w:p w:rsidR="009047E0" w:rsidRPr="001B0290" w:rsidRDefault="009047E0" w:rsidP="001B0290">
      <w:pPr>
        <w:pStyle w:val="BodyText"/>
        <w:rPr>
          <w:sz w:val="20"/>
          <w:szCs w:val="20"/>
        </w:rPr>
      </w:pPr>
    </w:p>
    <w:p w:rsidR="009047E0" w:rsidRPr="001B0290" w:rsidRDefault="00EA735C" w:rsidP="001B0290">
      <w:pPr>
        <w:pStyle w:val="BodyText"/>
        <w:ind w:left="140" w:right="134"/>
        <w:rPr>
          <w:sz w:val="20"/>
          <w:szCs w:val="20"/>
        </w:rPr>
      </w:pPr>
      <w:r w:rsidRPr="001B0290">
        <w:rPr>
          <w:sz w:val="20"/>
          <w:szCs w:val="20"/>
        </w:rPr>
        <w:t>Section 191(3) (e) makes provision for the programme to assist a person with the transition when leaving a child</w:t>
      </w:r>
      <w:r w:rsidRPr="001B0290">
        <w:rPr>
          <w:sz w:val="20"/>
          <w:szCs w:val="20"/>
        </w:rPr>
        <w:t xml:space="preserve"> and youth care centre after reaching the age of 18. In compliance with this section, the department has developed guidelines for independent living programmes for children placed in alternative care. The Department is providing an ongoing training on the </w:t>
      </w:r>
      <w:r w:rsidRPr="001B0290">
        <w:rPr>
          <w:sz w:val="20"/>
          <w:szCs w:val="20"/>
        </w:rPr>
        <w:t>said guidelines and has trained 250 Social Service Practitioners in Eastern Cape, KwaZulu-Natal, Northern Cape, Free State and Mpumalanga.</w:t>
      </w:r>
    </w:p>
    <w:p w:rsidR="009047E0" w:rsidRPr="001B0290" w:rsidRDefault="009047E0" w:rsidP="001B0290">
      <w:pPr>
        <w:pStyle w:val="BodyText"/>
        <w:rPr>
          <w:sz w:val="20"/>
          <w:szCs w:val="20"/>
        </w:rPr>
      </w:pPr>
    </w:p>
    <w:p w:rsidR="009047E0" w:rsidRPr="001B0290" w:rsidRDefault="00EA735C" w:rsidP="001B0290">
      <w:pPr>
        <w:pStyle w:val="BodyText"/>
        <w:ind w:left="140" w:right="144"/>
        <w:rPr>
          <w:sz w:val="20"/>
          <w:szCs w:val="20"/>
        </w:rPr>
      </w:pPr>
      <w:r w:rsidRPr="001B0290">
        <w:rPr>
          <w:sz w:val="20"/>
          <w:szCs w:val="20"/>
        </w:rPr>
        <w:t xml:space="preserve">It is also important to highlight that each child is assisted to develop a Personal Development Plan which outlines </w:t>
      </w:r>
      <w:r w:rsidRPr="001B0290">
        <w:rPr>
          <w:sz w:val="20"/>
          <w:szCs w:val="20"/>
        </w:rPr>
        <w:t>future plans for children as they transition into adulthood and independent living.</w:t>
      </w:r>
    </w:p>
    <w:sectPr w:rsidR="009047E0" w:rsidRPr="001B0290" w:rsidSect="009047E0">
      <w:headerReference w:type="default" r:id="rId7"/>
      <w:footerReference w:type="default" r:id="rId8"/>
      <w:pgSz w:w="11910" w:h="16840"/>
      <w:pgMar w:top="3260" w:right="1300" w:bottom="1200" w:left="1300" w:header="865" w:footer="10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5C" w:rsidRDefault="00EA735C" w:rsidP="009047E0">
      <w:r>
        <w:separator/>
      </w:r>
    </w:p>
  </w:endnote>
  <w:endnote w:type="continuationSeparator" w:id="0">
    <w:p w:rsidR="00EA735C" w:rsidRDefault="00EA735C" w:rsidP="009047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E0" w:rsidRDefault="009047E0">
    <w:pPr>
      <w:pStyle w:val="BodyText"/>
      <w:spacing w:line="14" w:lineRule="auto"/>
      <w:rPr>
        <w:sz w:val="20"/>
      </w:rPr>
    </w:pPr>
    <w:r w:rsidRPr="009047E0">
      <w:pict>
        <v:shapetype id="_x0000_t202" coordsize="21600,21600" o:spt="202" path="m,l,21600r21600,l21600,xe">
          <v:stroke joinstyle="miter"/>
          <v:path gradientshapeok="t" o:connecttype="rect"/>
        </v:shapetype>
        <v:shape id="_x0000_s2049" type="#_x0000_t202" style="position:absolute;margin-left:514.9pt;margin-top:780.8pt;width:11.6pt;height:13.05pt;z-index:-251658240;mso-position-horizontal-relative:page;mso-position-vertical-relative:page" filled="f" stroked="f">
          <v:textbox inset="0,0,0,0">
            <w:txbxContent>
              <w:p w:rsidR="009047E0" w:rsidRDefault="009047E0">
                <w:pPr>
                  <w:spacing w:line="245" w:lineRule="exact"/>
                  <w:ind w:left="60"/>
                  <w:rPr>
                    <w:rFonts w:ascii="Calibri"/>
                  </w:rPr>
                </w:pPr>
                <w:r>
                  <w:fldChar w:fldCharType="begin"/>
                </w:r>
                <w:r w:rsidR="00EA735C">
                  <w:rPr>
                    <w:rFonts w:ascii="Calibri"/>
                  </w:rPr>
                  <w:instrText xml:space="preserve"> PAGE </w:instrText>
                </w:r>
                <w:r>
                  <w:fldChar w:fldCharType="separate"/>
                </w:r>
                <w:r w:rsidR="001B0290">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5C" w:rsidRDefault="00EA735C" w:rsidP="009047E0">
      <w:r>
        <w:separator/>
      </w:r>
    </w:p>
  </w:footnote>
  <w:footnote w:type="continuationSeparator" w:id="0">
    <w:p w:rsidR="00EA735C" w:rsidRDefault="00EA735C" w:rsidP="00904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E0" w:rsidRDefault="009047E0">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65AF"/>
    <w:multiLevelType w:val="hybridMultilevel"/>
    <w:tmpl w:val="674EB19C"/>
    <w:lvl w:ilvl="0" w:tplc="20E2E30E">
      <w:start w:val="1"/>
      <w:numFmt w:val="lowerLetter"/>
      <w:lvlText w:val="(%1)"/>
      <w:lvlJc w:val="left"/>
      <w:pPr>
        <w:ind w:left="500" w:hanging="360"/>
        <w:jc w:val="left"/>
      </w:pPr>
      <w:rPr>
        <w:rFonts w:ascii="Arial" w:eastAsia="Arial" w:hAnsi="Arial" w:cs="Arial" w:hint="default"/>
        <w:w w:val="99"/>
        <w:sz w:val="24"/>
        <w:szCs w:val="24"/>
        <w:lang w:val="en-US" w:eastAsia="en-US" w:bidi="en-US"/>
      </w:rPr>
    </w:lvl>
    <w:lvl w:ilvl="1" w:tplc="2BB89A92">
      <w:numFmt w:val="bullet"/>
      <w:lvlText w:val="•"/>
      <w:lvlJc w:val="left"/>
      <w:pPr>
        <w:ind w:left="1380" w:hanging="360"/>
      </w:pPr>
      <w:rPr>
        <w:rFonts w:hint="default"/>
        <w:lang w:val="en-US" w:eastAsia="en-US" w:bidi="en-US"/>
      </w:rPr>
    </w:lvl>
    <w:lvl w:ilvl="2" w:tplc="3E02405C">
      <w:numFmt w:val="bullet"/>
      <w:lvlText w:val="•"/>
      <w:lvlJc w:val="left"/>
      <w:pPr>
        <w:ind w:left="2261" w:hanging="360"/>
      </w:pPr>
      <w:rPr>
        <w:rFonts w:hint="default"/>
        <w:lang w:val="en-US" w:eastAsia="en-US" w:bidi="en-US"/>
      </w:rPr>
    </w:lvl>
    <w:lvl w:ilvl="3" w:tplc="86BC678E">
      <w:numFmt w:val="bullet"/>
      <w:lvlText w:val="•"/>
      <w:lvlJc w:val="left"/>
      <w:pPr>
        <w:ind w:left="3141" w:hanging="360"/>
      </w:pPr>
      <w:rPr>
        <w:rFonts w:hint="default"/>
        <w:lang w:val="en-US" w:eastAsia="en-US" w:bidi="en-US"/>
      </w:rPr>
    </w:lvl>
    <w:lvl w:ilvl="4" w:tplc="4EB6EE24">
      <w:numFmt w:val="bullet"/>
      <w:lvlText w:val="•"/>
      <w:lvlJc w:val="left"/>
      <w:pPr>
        <w:ind w:left="4022" w:hanging="360"/>
      </w:pPr>
      <w:rPr>
        <w:rFonts w:hint="default"/>
        <w:lang w:val="en-US" w:eastAsia="en-US" w:bidi="en-US"/>
      </w:rPr>
    </w:lvl>
    <w:lvl w:ilvl="5" w:tplc="648E20B4">
      <w:numFmt w:val="bullet"/>
      <w:lvlText w:val="•"/>
      <w:lvlJc w:val="left"/>
      <w:pPr>
        <w:ind w:left="4903" w:hanging="360"/>
      </w:pPr>
      <w:rPr>
        <w:rFonts w:hint="default"/>
        <w:lang w:val="en-US" w:eastAsia="en-US" w:bidi="en-US"/>
      </w:rPr>
    </w:lvl>
    <w:lvl w:ilvl="6" w:tplc="0082C7D8">
      <w:numFmt w:val="bullet"/>
      <w:lvlText w:val="•"/>
      <w:lvlJc w:val="left"/>
      <w:pPr>
        <w:ind w:left="5783" w:hanging="360"/>
      </w:pPr>
      <w:rPr>
        <w:rFonts w:hint="default"/>
        <w:lang w:val="en-US" w:eastAsia="en-US" w:bidi="en-US"/>
      </w:rPr>
    </w:lvl>
    <w:lvl w:ilvl="7" w:tplc="461C3538">
      <w:numFmt w:val="bullet"/>
      <w:lvlText w:val="•"/>
      <w:lvlJc w:val="left"/>
      <w:pPr>
        <w:ind w:left="6664" w:hanging="360"/>
      </w:pPr>
      <w:rPr>
        <w:rFonts w:hint="default"/>
        <w:lang w:val="en-US" w:eastAsia="en-US" w:bidi="en-US"/>
      </w:rPr>
    </w:lvl>
    <w:lvl w:ilvl="8" w:tplc="12A807F6">
      <w:numFmt w:val="bullet"/>
      <w:lvlText w:val="•"/>
      <w:lvlJc w:val="left"/>
      <w:pPr>
        <w:ind w:left="7545"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9047E0"/>
    <w:rsid w:val="001B0290"/>
    <w:rsid w:val="009047E0"/>
    <w:rsid w:val="00EA7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47E0"/>
    <w:rPr>
      <w:rFonts w:ascii="Arial" w:eastAsia="Arial" w:hAnsi="Arial" w:cs="Arial"/>
      <w:lang w:bidi="en-US"/>
    </w:rPr>
  </w:style>
  <w:style w:type="paragraph" w:styleId="Heading1">
    <w:name w:val="heading 1"/>
    <w:basedOn w:val="Normal"/>
    <w:uiPriority w:val="1"/>
    <w:qFormat/>
    <w:rsid w:val="009047E0"/>
    <w:pPr>
      <w:ind w:left="140" w:right="136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47E0"/>
    <w:rPr>
      <w:sz w:val="24"/>
      <w:szCs w:val="24"/>
    </w:rPr>
  </w:style>
  <w:style w:type="paragraph" w:styleId="ListParagraph">
    <w:name w:val="List Paragraph"/>
    <w:basedOn w:val="Normal"/>
    <w:uiPriority w:val="1"/>
    <w:qFormat/>
    <w:rsid w:val="009047E0"/>
    <w:pPr>
      <w:ind w:left="140" w:hanging="361"/>
    </w:pPr>
  </w:style>
  <w:style w:type="paragraph" w:customStyle="1" w:styleId="TableParagraph">
    <w:name w:val="Table Paragraph"/>
    <w:basedOn w:val="Normal"/>
    <w:uiPriority w:val="1"/>
    <w:qFormat/>
    <w:rsid w:val="009047E0"/>
  </w:style>
  <w:style w:type="paragraph" w:styleId="Header">
    <w:name w:val="header"/>
    <w:basedOn w:val="Normal"/>
    <w:link w:val="HeaderChar"/>
    <w:uiPriority w:val="99"/>
    <w:semiHidden/>
    <w:unhideWhenUsed/>
    <w:rsid w:val="001B0290"/>
    <w:pPr>
      <w:tabs>
        <w:tab w:val="center" w:pos="4680"/>
        <w:tab w:val="right" w:pos="9360"/>
      </w:tabs>
    </w:pPr>
  </w:style>
  <w:style w:type="character" w:customStyle="1" w:styleId="HeaderChar">
    <w:name w:val="Header Char"/>
    <w:basedOn w:val="DefaultParagraphFont"/>
    <w:link w:val="Header"/>
    <w:uiPriority w:val="99"/>
    <w:semiHidden/>
    <w:rsid w:val="001B0290"/>
    <w:rPr>
      <w:rFonts w:ascii="Arial" w:eastAsia="Arial" w:hAnsi="Arial" w:cs="Arial"/>
      <w:lang w:bidi="en-US"/>
    </w:rPr>
  </w:style>
  <w:style w:type="paragraph" w:styleId="Footer">
    <w:name w:val="footer"/>
    <w:basedOn w:val="Normal"/>
    <w:link w:val="FooterChar"/>
    <w:uiPriority w:val="99"/>
    <w:semiHidden/>
    <w:unhideWhenUsed/>
    <w:rsid w:val="001B0290"/>
    <w:pPr>
      <w:tabs>
        <w:tab w:val="center" w:pos="4680"/>
        <w:tab w:val="right" w:pos="9360"/>
      </w:tabs>
    </w:pPr>
  </w:style>
  <w:style w:type="character" w:customStyle="1" w:styleId="FooterChar">
    <w:name w:val="Footer Char"/>
    <w:basedOn w:val="DefaultParagraphFont"/>
    <w:link w:val="Footer"/>
    <w:uiPriority w:val="99"/>
    <w:semiHidden/>
    <w:rsid w:val="001B0290"/>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dcterms:created xsi:type="dcterms:W3CDTF">2022-01-18T14:08:00Z</dcterms:created>
  <dcterms:modified xsi:type="dcterms:W3CDTF">2022-01-18T14:49:00Z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Creator">
    <vt:lpwstr>Microsoft® Word 2016</vt:lpwstr>
  </property>
  <property fmtid="{D5CDD505-2E9C-101B-9397-08002B2CF9AE}" pid="4" name="LastSaved">
    <vt:filetime>2022-01-18T00:00:00Z</vt:filetime>
  </property>
</Properties>
</file>