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97DB4" w:rsidRPr="00597DB4" w:rsidRDefault="00597DB4" w:rsidP="00597DB4">
      <w:pPr>
        <w:spacing w:before="240"/>
        <w:jc w:val="center"/>
        <w:rPr>
          <w:rFonts w:ascii="Arial" w:hAnsi="Arial" w:cs="Arial"/>
          <w:b/>
          <w:bCs/>
          <w:lang w:val="en-ZA"/>
        </w:rPr>
      </w:pPr>
      <w:r w:rsidRPr="00597DB4">
        <w:rPr>
          <w:rFonts w:ascii="Arial" w:hAnsi="Arial" w:cs="Arial"/>
          <w:b/>
          <w:bCs/>
          <w:lang w:val="en-ZA"/>
        </w:rPr>
        <w:t xml:space="preserve">NATIONAL ASSEMBLY </w:t>
      </w:r>
    </w:p>
    <w:p w:rsidR="00597DB4" w:rsidRPr="00597DB4" w:rsidRDefault="00597DB4" w:rsidP="00597DB4">
      <w:pPr>
        <w:jc w:val="center"/>
        <w:rPr>
          <w:rFonts w:ascii="Arial" w:hAnsi="Arial" w:cs="Arial"/>
          <w:b/>
          <w:bCs/>
          <w:lang w:val="en-ZA"/>
        </w:rPr>
      </w:pPr>
      <w:r w:rsidRPr="00597DB4">
        <w:rPr>
          <w:rFonts w:ascii="Arial" w:hAnsi="Arial" w:cs="Arial"/>
          <w:b/>
          <w:bCs/>
          <w:lang w:val="en-ZA"/>
        </w:rPr>
        <w:t>FOR WRITTEN REPLY</w:t>
      </w:r>
    </w:p>
    <w:p w:rsidR="00597DB4" w:rsidRPr="00597DB4" w:rsidRDefault="00597DB4" w:rsidP="00597DB4">
      <w:pPr>
        <w:jc w:val="center"/>
        <w:rPr>
          <w:rFonts w:ascii="Arial" w:hAnsi="Arial" w:cs="Arial"/>
          <w:b/>
          <w:bCs/>
          <w:lang w:val="en-ZA"/>
        </w:rPr>
      </w:pPr>
      <w:r w:rsidRPr="00597DB4">
        <w:rPr>
          <w:rFonts w:ascii="Arial" w:hAnsi="Arial" w:cs="Arial"/>
          <w:b/>
          <w:bCs/>
          <w:lang w:val="en-ZA"/>
        </w:rPr>
        <w:t>QUESTION 2532</w:t>
      </w:r>
    </w:p>
    <w:p w:rsidR="00597DB4" w:rsidRPr="00597DB4" w:rsidRDefault="00597DB4" w:rsidP="00597DB4">
      <w:pPr>
        <w:jc w:val="center"/>
        <w:rPr>
          <w:rFonts w:ascii="Arial" w:hAnsi="Arial" w:cs="Arial"/>
          <w:b/>
          <w:bCs/>
          <w:lang w:val="en-ZA"/>
        </w:rPr>
      </w:pPr>
      <w:r w:rsidRPr="00597DB4">
        <w:rPr>
          <w:rFonts w:ascii="Arial" w:hAnsi="Arial" w:cs="Arial"/>
          <w:b/>
          <w:bCs/>
          <w:lang w:val="en-ZA"/>
        </w:rPr>
        <w:t>DATE OF PUBLICATION OF INTERNAL QUESTION PAPER: 30/10/2020</w:t>
      </w:r>
    </w:p>
    <w:p w:rsidR="00597DB4" w:rsidRPr="00597DB4" w:rsidRDefault="00597DB4" w:rsidP="00597DB4">
      <w:pPr>
        <w:spacing w:after="120" w:line="360" w:lineRule="auto"/>
        <w:jc w:val="center"/>
        <w:rPr>
          <w:rFonts w:ascii="Arial" w:hAnsi="Arial" w:cs="Arial"/>
          <w:b/>
          <w:bCs/>
          <w:lang w:val="en-ZA"/>
        </w:rPr>
      </w:pPr>
      <w:r w:rsidRPr="00597DB4">
        <w:rPr>
          <w:rFonts w:ascii="Arial" w:hAnsi="Arial" w:cs="Arial"/>
          <w:b/>
          <w:bCs/>
          <w:lang w:val="en-ZA"/>
        </w:rPr>
        <w:t>INTERNAL QUESTION PAPER NO 42 OF 2020</w:t>
      </w:r>
    </w:p>
    <w:p w:rsidR="00597DB4" w:rsidRPr="00597DB4" w:rsidRDefault="00597DB4" w:rsidP="00597DB4">
      <w:pPr>
        <w:spacing w:before="100" w:beforeAutospacing="1" w:after="100" w:afterAutospacing="1"/>
        <w:ind w:left="720" w:hanging="720"/>
        <w:jc w:val="both"/>
        <w:outlineLvl w:val="0"/>
        <w:rPr>
          <w:rFonts w:ascii="Arial" w:hAnsi="Arial" w:cs="Arial"/>
          <w:lang w:val="en-ZA"/>
        </w:rPr>
      </w:pPr>
      <w:r w:rsidRPr="00597DB4">
        <w:rPr>
          <w:rFonts w:ascii="Arial" w:hAnsi="Arial" w:cs="Arial"/>
          <w:b/>
          <w:lang w:val="en-ZA"/>
        </w:rPr>
        <w:t>Mr S L Ngcobo (IFP) to ask the Minister of Higher Education, Science and Technology</w:t>
      </w:r>
      <w:r w:rsidR="00E2201F" w:rsidRPr="00597DB4">
        <w:rPr>
          <w:rFonts w:ascii="Arial" w:hAnsi="Arial" w:cs="Arial"/>
          <w:b/>
          <w:lang w:val="en-ZA"/>
        </w:rPr>
        <w:fldChar w:fldCharType="begin"/>
      </w:r>
      <w:r w:rsidRPr="00597DB4">
        <w:rPr>
          <w:rFonts w:ascii="Arial" w:hAnsi="Arial" w:cs="Arial"/>
          <w:lang w:val="en-ZA"/>
        </w:rPr>
        <w:instrText xml:space="preserve"> XE "</w:instrText>
      </w:r>
      <w:r w:rsidRPr="00597DB4">
        <w:rPr>
          <w:rFonts w:ascii="Arial" w:hAnsi="Arial" w:cs="Arial"/>
          <w:b/>
          <w:lang w:val="en-ZA"/>
        </w:rPr>
        <w:instrText>Higher Education, Science and Technology</w:instrText>
      </w:r>
      <w:r w:rsidRPr="00597DB4">
        <w:rPr>
          <w:rFonts w:ascii="Arial" w:hAnsi="Arial" w:cs="Arial"/>
          <w:lang w:val="en-ZA"/>
        </w:rPr>
        <w:instrText xml:space="preserve">" </w:instrText>
      </w:r>
      <w:r w:rsidR="00E2201F" w:rsidRPr="00597DB4">
        <w:rPr>
          <w:rFonts w:ascii="Arial" w:hAnsi="Arial" w:cs="Arial"/>
          <w:b/>
          <w:lang w:val="en-ZA"/>
        </w:rPr>
        <w:fldChar w:fldCharType="end"/>
      </w:r>
      <w:r w:rsidRPr="00597DB4">
        <w:rPr>
          <w:rFonts w:ascii="Arial" w:hAnsi="Arial" w:cs="Arial"/>
          <w:b/>
          <w:lang w:val="en-ZA"/>
        </w:rPr>
        <w:t>:</w:t>
      </w:r>
    </w:p>
    <w:p w:rsidR="00597DB4" w:rsidRPr="00597DB4" w:rsidRDefault="00597DB4" w:rsidP="00597DB4">
      <w:pPr>
        <w:spacing w:before="100" w:beforeAutospacing="1" w:after="100" w:afterAutospacing="1"/>
        <w:ind w:left="1440" w:hanging="720"/>
        <w:jc w:val="both"/>
        <w:rPr>
          <w:rFonts w:ascii="Arial" w:hAnsi="Arial" w:cs="Arial"/>
          <w:lang w:val="en-ZA"/>
        </w:rPr>
      </w:pPr>
      <w:r w:rsidRPr="00597DB4">
        <w:rPr>
          <w:rFonts w:ascii="Arial" w:hAnsi="Arial" w:cs="Arial"/>
          <w:lang w:val="en-ZA"/>
        </w:rPr>
        <w:t>(1)</w:t>
      </w:r>
      <w:r w:rsidRPr="00597DB4">
        <w:rPr>
          <w:rFonts w:ascii="Arial" w:hAnsi="Arial" w:cs="Arial"/>
          <w:lang w:val="en-ZA"/>
        </w:rPr>
        <w:tab/>
        <w:t xml:space="preserve">What total number of graduates have been retained by their respective host institutions since the National Research Fund internship programme of the Department of Science and Innovation commenced; </w:t>
      </w:r>
    </w:p>
    <w:p w:rsidR="00597DB4" w:rsidRPr="00597DB4" w:rsidRDefault="00597DB4" w:rsidP="00597DB4">
      <w:pPr>
        <w:spacing w:before="100" w:beforeAutospacing="1" w:after="100" w:afterAutospacing="1"/>
        <w:ind w:left="1440" w:hanging="720"/>
        <w:jc w:val="both"/>
        <w:rPr>
          <w:rFonts w:ascii="Arial" w:hAnsi="Arial" w:cs="Arial"/>
          <w:lang w:val="en-ZA"/>
        </w:rPr>
      </w:pPr>
      <w:r w:rsidRPr="00597DB4">
        <w:rPr>
          <w:rFonts w:ascii="Arial" w:hAnsi="Arial" w:cs="Arial"/>
          <w:lang w:val="en-ZA"/>
        </w:rPr>
        <w:t>(2)</w:t>
      </w:r>
      <w:r w:rsidRPr="00597DB4">
        <w:rPr>
          <w:rFonts w:ascii="Arial" w:hAnsi="Arial" w:cs="Arial"/>
          <w:lang w:val="en-ZA"/>
        </w:rPr>
        <w:tab/>
        <w:t>whether he has the statistical data on the number of graduates who have been able to find employment once the internship ended; if not, what is the position in this regard, if so, what is the data of (a) how long it took for graduates to gain employment and (b) the terms of their (</w:t>
      </w:r>
      <w:proofErr w:type="spellStart"/>
      <w:r w:rsidRPr="00597DB4">
        <w:rPr>
          <w:rFonts w:ascii="Arial" w:hAnsi="Arial" w:cs="Arial"/>
          <w:lang w:val="en-ZA"/>
        </w:rPr>
        <w:t>i</w:t>
      </w:r>
      <w:proofErr w:type="spellEnd"/>
      <w:r w:rsidRPr="00597DB4">
        <w:rPr>
          <w:rFonts w:ascii="Arial" w:hAnsi="Arial" w:cs="Arial"/>
          <w:lang w:val="en-ZA"/>
        </w:rPr>
        <w:t>) permanent and/or (ii) contract employment;</w:t>
      </w:r>
    </w:p>
    <w:p w:rsidR="00597DB4" w:rsidRPr="00597DB4" w:rsidRDefault="00597DB4" w:rsidP="00597DB4">
      <w:pPr>
        <w:spacing w:before="100" w:beforeAutospacing="1" w:after="100" w:afterAutospacing="1"/>
        <w:ind w:left="1440" w:hanging="720"/>
        <w:jc w:val="both"/>
        <w:rPr>
          <w:rFonts w:ascii="Arial" w:hAnsi="Arial" w:cs="Arial"/>
          <w:lang w:val="en-ZA"/>
        </w:rPr>
      </w:pPr>
      <w:r w:rsidRPr="00597DB4">
        <w:rPr>
          <w:rFonts w:ascii="Arial" w:hAnsi="Arial" w:cs="Arial"/>
          <w:lang w:val="en-ZA"/>
        </w:rPr>
        <w:t>(3)</w:t>
      </w:r>
      <w:r w:rsidRPr="00597DB4">
        <w:rPr>
          <w:rFonts w:ascii="Arial" w:hAnsi="Arial" w:cs="Arial"/>
          <w:lang w:val="en-ZA"/>
        </w:rPr>
        <w:tab/>
        <w:t>whether there are any obligations placed on the host institutions and mentors to facilitate formal skills training during the programme to enhance the chances of the graduates to gain employment once their internship is completed; if not, what is the position in this regard; if so, what are the relevant details;</w:t>
      </w:r>
    </w:p>
    <w:p w:rsidR="00597DB4" w:rsidRPr="00597DB4" w:rsidRDefault="00597DB4" w:rsidP="00597DB4">
      <w:pPr>
        <w:spacing w:before="100" w:beforeAutospacing="1" w:after="100" w:afterAutospacing="1"/>
        <w:ind w:left="1440" w:hanging="720"/>
        <w:jc w:val="both"/>
        <w:rPr>
          <w:rFonts w:ascii="Arial" w:hAnsi="Arial" w:cs="Arial"/>
          <w:lang w:val="en-US"/>
        </w:rPr>
      </w:pPr>
      <w:r w:rsidRPr="00597DB4">
        <w:rPr>
          <w:rFonts w:ascii="Arial" w:hAnsi="Arial" w:cs="Arial"/>
          <w:lang w:val="en-ZA"/>
        </w:rPr>
        <w:t>(4)</w:t>
      </w:r>
      <w:r w:rsidRPr="00597DB4">
        <w:rPr>
          <w:rFonts w:ascii="Arial" w:hAnsi="Arial" w:cs="Arial"/>
          <w:lang w:val="en-ZA"/>
        </w:rPr>
        <w:tab/>
        <w:t>with the 2020-21 cohort of graduates, what support mechanisms are in place to ensure that students obtain their qualifications within the two-year period?</w:t>
      </w:r>
      <w:r w:rsidRPr="00597DB4">
        <w:rPr>
          <w:rFonts w:ascii="Arial" w:hAnsi="Arial" w:cs="Arial"/>
          <w:lang w:val="en-ZA"/>
        </w:rPr>
        <w:tab/>
      </w:r>
      <w:r w:rsidRPr="00597DB4">
        <w:rPr>
          <w:rFonts w:ascii="Arial" w:hAnsi="Arial" w:cs="Arial"/>
          <w:lang w:val="en-ZA"/>
        </w:rPr>
        <w:tab/>
      </w:r>
      <w:r w:rsidRPr="00597DB4">
        <w:rPr>
          <w:rFonts w:ascii="Arial" w:hAnsi="Arial" w:cs="Arial"/>
          <w:lang w:val="en-ZA"/>
        </w:rPr>
        <w:tab/>
      </w:r>
      <w:r w:rsidRPr="00597DB4">
        <w:rPr>
          <w:rFonts w:ascii="Arial" w:hAnsi="Arial" w:cs="Arial"/>
          <w:lang w:val="en-ZA"/>
        </w:rPr>
        <w:tab/>
      </w:r>
      <w:r w:rsidRPr="00597DB4">
        <w:rPr>
          <w:rFonts w:ascii="Arial" w:hAnsi="Arial" w:cs="Arial"/>
          <w:lang w:val="en-ZA"/>
        </w:rPr>
        <w:tab/>
      </w:r>
      <w:r w:rsidRPr="00597DB4">
        <w:rPr>
          <w:rFonts w:ascii="Arial" w:hAnsi="Arial" w:cs="Arial"/>
          <w:lang w:val="en-ZA"/>
        </w:rPr>
        <w:tab/>
      </w:r>
      <w:r w:rsidRPr="00597DB4">
        <w:rPr>
          <w:rFonts w:ascii="Arial" w:hAnsi="Arial" w:cs="Arial"/>
          <w:lang w:val="en-ZA"/>
        </w:rPr>
        <w:tab/>
      </w:r>
      <w:r w:rsidRPr="00597DB4">
        <w:rPr>
          <w:rFonts w:ascii="Arial" w:hAnsi="Arial" w:cs="Arial"/>
          <w:lang w:val="en-ZA"/>
        </w:rPr>
        <w:tab/>
      </w:r>
      <w:r w:rsidRPr="00597DB4">
        <w:rPr>
          <w:rFonts w:ascii="Arial" w:hAnsi="Arial" w:cs="Arial"/>
          <w:lang w:val="en-ZA"/>
        </w:rPr>
        <w:tab/>
      </w:r>
      <w:r w:rsidRPr="00597DB4">
        <w:rPr>
          <w:rFonts w:ascii="Arial" w:hAnsi="Arial" w:cs="Arial"/>
          <w:lang w:val="en-ZA"/>
        </w:rPr>
        <w:tab/>
      </w:r>
      <w:r w:rsidRPr="00597DB4">
        <w:rPr>
          <w:rFonts w:ascii="Arial" w:hAnsi="Arial" w:cs="Arial"/>
          <w:b/>
          <w:lang w:val="en-US"/>
        </w:rPr>
        <w:t>NW3202E</w:t>
      </w:r>
    </w:p>
    <w:p w:rsidR="00597DB4" w:rsidRDefault="00597DB4" w:rsidP="00597DB4">
      <w:pPr>
        <w:spacing w:before="100" w:beforeAutospacing="1" w:after="100" w:afterAutospacing="1"/>
        <w:jc w:val="both"/>
        <w:rPr>
          <w:rFonts w:ascii="Arial" w:hAnsi="Arial" w:cs="Arial"/>
          <w:b/>
        </w:rPr>
      </w:pPr>
    </w:p>
    <w:p w:rsidR="00597DB4" w:rsidRDefault="00597DB4" w:rsidP="00597DB4">
      <w:pPr>
        <w:spacing w:before="100" w:beforeAutospacing="1" w:after="100" w:afterAutospacing="1"/>
        <w:jc w:val="both"/>
        <w:rPr>
          <w:rFonts w:ascii="Arial" w:hAnsi="Arial" w:cs="Arial"/>
          <w:b/>
        </w:rPr>
      </w:pPr>
    </w:p>
    <w:p w:rsidR="00597DB4" w:rsidRDefault="00597DB4" w:rsidP="00597DB4">
      <w:pPr>
        <w:spacing w:before="100" w:beforeAutospacing="1" w:after="100" w:afterAutospacing="1"/>
        <w:jc w:val="both"/>
        <w:rPr>
          <w:rFonts w:ascii="Arial" w:hAnsi="Arial" w:cs="Arial"/>
          <w:b/>
        </w:rPr>
      </w:pPr>
    </w:p>
    <w:p w:rsidR="00597DB4" w:rsidRDefault="00597DB4" w:rsidP="00597DB4">
      <w:pPr>
        <w:spacing w:before="100" w:beforeAutospacing="1" w:after="100" w:afterAutospacing="1"/>
        <w:jc w:val="both"/>
        <w:rPr>
          <w:rFonts w:ascii="Arial" w:hAnsi="Arial" w:cs="Arial"/>
          <w:b/>
        </w:rPr>
      </w:pPr>
    </w:p>
    <w:p w:rsidR="00597DB4" w:rsidRDefault="00597DB4" w:rsidP="00597DB4">
      <w:pPr>
        <w:spacing w:before="100" w:beforeAutospacing="1" w:after="100" w:afterAutospacing="1"/>
        <w:jc w:val="both"/>
        <w:rPr>
          <w:rFonts w:ascii="Arial" w:hAnsi="Arial" w:cs="Arial"/>
          <w:b/>
        </w:rPr>
      </w:pPr>
    </w:p>
    <w:p w:rsidR="00597DB4" w:rsidRDefault="00597DB4" w:rsidP="00597DB4">
      <w:pPr>
        <w:spacing w:before="100" w:beforeAutospacing="1" w:after="100" w:afterAutospacing="1"/>
        <w:jc w:val="both"/>
        <w:rPr>
          <w:rFonts w:ascii="Arial" w:hAnsi="Arial" w:cs="Arial"/>
          <w:b/>
        </w:rPr>
      </w:pPr>
    </w:p>
    <w:p w:rsidR="00597DB4" w:rsidRDefault="00597DB4" w:rsidP="00597DB4">
      <w:pPr>
        <w:spacing w:before="100" w:beforeAutospacing="1" w:after="100" w:afterAutospacing="1"/>
        <w:jc w:val="both"/>
        <w:rPr>
          <w:rFonts w:ascii="Arial" w:hAnsi="Arial" w:cs="Arial"/>
          <w:b/>
        </w:rPr>
      </w:pPr>
    </w:p>
    <w:p w:rsidR="00597DB4" w:rsidRDefault="00597DB4" w:rsidP="00597DB4">
      <w:pPr>
        <w:spacing w:before="100" w:beforeAutospacing="1" w:after="100" w:afterAutospacing="1"/>
        <w:jc w:val="both"/>
        <w:rPr>
          <w:rFonts w:ascii="Arial" w:hAnsi="Arial" w:cs="Arial"/>
          <w:b/>
        </w:rPr>
      </w:pPr>
    </w:p>
    <w:p w:rsidR="00597DB4" w:rsidRDefault="00597DB4" w:rsidP="00597DB4">
      <w:pPr>
        <w:spacing w:before="100" w:beforeAutospacing="1" w:after="100" w:afterAutospacing="1"/>
        <w:jc w:val="both"/>
        <w:rPr>
          <w:rFonts w:ascii="Arial" w:hAnsi="Arial" w:cs="Arial"/>
          <w:b/>
        </w:rPr>
      </w:pPr>
    </w:p>
    <w:p w:rsidR="00597DB4" w:rsidRDefault="00597DB4" w:rsidP="00597DB4">
      <w:pPr>
        <w:spacing w:before="100" w:beforeAutospacing="1" w:after="100" w:afterAutospacing="1"/>
        <w:jc w:val="both"/>
        <w:rPr>
          <w:rFonts w:ascii="Arial" w:hAnsi="Arial" w:cs="Arial"/>
          <w:b/>
        </w:rPr>
      </w:pPr>
    </w:p>
    <w:p w:rsidR="00597DB4" w:rsidRPr="00597DB4" w:rsidRDefault="00597DB4" w:rsidP="00597DB4">
      <w:pPr>
        <w:spacing w:before="100" w:beforeAutospacing="1" w:after="100" w:afterAutospacing="1"/>
        <w:jc w:val="both"/>
        <w:rPr>
          <w:rFonts w:ascii="Arial" w:hAnsi="Arial" w:cs="Arial"/>
          <w:lang w:val="en-US"/>
        </w:rPr>
      </w:pPr>
      <w:r w:rsidRPr="00597DB4">
        <w:rPr>
          <w:rFonts w:ascii="Arial" w:hAnsi="Arial" w:cs="Arial"/>
          <w:b/>
        </w:rPr>
        <w:lastRenderedPageBreak/>
        <w:t>REPLY:</w:t>
      </w:r>
    </w:p>
    <w:p w:rsidR="00597DB4" w:rsidRPr="00597DB4" w:rsidRDefault="00597DB4" w:rsidP="00597DB4">
      <w:pPr>
        <w:numPr>
          <w:ilvl w:val="0"/>
          <w:numId w:val="12"/>
        </w:numPr>
        <w:spacing w:before="100" w:beforeAutospacing="1" w:after="100" w:afterAutospacing="1" w:line="360" w:lineRule="auto"/>
        <w:ind w:left="540" w:hanging="540"/>
        <w:contextualSpacing/>
        <w:jc w:val="both"/>
        <w:rPr>
          <w:lang w:val="en-US"/>
        </w:rPr>
      </w:pPr>
      <w:r w:rsidRPr="00597DB4">
        <w:rPr>
          <w:rFonts w:ascii="Arial" w:hAnsi="Arial" w:cs="Arial"/>
          <w:lang w:val="en-ZA"/>
        </w:rPr>
        <w:t>Interns that participated in the Programme have been absorbed for employment by various sectors, as depicted in Figure 1 below.  Data on the retention of interns for employment by their respective hosts has not been collected.  The Department has commissioned an impact study that will provide more information on the retention of interns by their hosts and their career progression.  The study will be completed in March 2022.</w:t>
      </w:r>
    </w:p>
    <w:p w:rsidR="00597DB4" w:rsidRPr="00597DB4" w:rsidRDefault="00597DB4" w:rsidP="00597DB4">
      <w:pPr>
        <w:spacing w:before="100" w:beforeAutospacing="1" w:after="100" w:afterAutospacing="1" w:line="360" w:lineRule="auto"/>
        <w:ind w:left="720"/>
        <w:contextualSpacing/>
        <w:jc w:val="both"/>
        <w:rPr>
          <w:rFonts w:ascii="Arial" w:hAnsi="Arial" w:cs="Arial"/>
          <w:lang w:val="en-US"/>
        </w:rPr>
      </w:pPr>
    </w:p>
    <w:p w:rsidR="00597DB4" w:rsidRPr="00597DB4" w:rsidRDefault="00597DB4" w:rsidP="00597DB4">
      <w:pPr>
        <w:spacing w:after="0" w:line="360" w:lineRule="auto"/>
        <w:ind w:left="720"/>
        <w:contextualSpacing/>
        <w:jc w:val="both"/>
        <w:rPr>
          <w:rFonts w:ascii="Arial" w:hAnsi="Arial" w:cs="Arial"/>
          <w:lang w:val="en-US"/>
        </w:rPr>
      </w:pPr>
      <w:r w:rsidRPr="00597DB4">
        <w:rPr>
          <w:rFonts w:cs="Times New Roman"/>
          <w:noProof/>
          <w:lang w:val="en-ZA" w:eastAsia="en-ZA"/>
        </w:rPr>
        <w:drawing>
          <wp:inline distT="0" distB="0" distL="0" distR="0">
            <wp:extent cx="5943600" cy="22479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97DB4" w:rsidRPr="00597DB4" w:rsidRDefault="00597DB4" w:rsidP="00597DB4">
      <w:pPr>
        <w:spacing w:after="0" w:line="360" w:lineRule="auto"/>
        <w:ind w:firstLine="720"/>
        <w:jc w:val="both"/>
        <w:rPr>
          <w:rFonts w:ascii="Arial" w:hAnsi="Arial" w:cs="Arial"/>
          <w:lang w:val="en-ZA"/>
        </w:rPr>
      </w:pPr>
      <w:r w:rsidRPr="00597DB4">
        <w:rPr>
          <w:rFonts w:ascii="Arial" w:hAnsi="Arial" w:cs="Arial"/>
          <w:lang w:val="en-ZA"/>
        </w:rPr>
        <w:t>Figure 1: Sectors employing Interns on completion of the internship</w:t>
      </w:r>
    </w:p>
    <w:p w:rsidR="00597DB4" w:rsidRPr="00597DB4" w:rsidRDefault="00597DB4" w:rsidP="00597DB4">
      <w:pPr>
        <w:spacing w:after="0" w:line="360" w:lineRule="auto"/>
        <w:ind w:firstLine="720"/>
        <w:jc w:val="both"/>
        <w:rPr>
          <w:rFonts w:ascii="Arial" w:hAnsi="Arial" w:cs="Arial"/>
          <w:lang w:val="en-ZA"/>
        </w:rPr>
      </w:pPr>
    </w:p>
    <w:p w:rsidR="00597DB4" w:rsidRPr="00597DB4" w:rsidRDefault="00597DB4" w:rsidP="00597DB4">
      <w:pPr>
        <w:numPr>
          <w:ilvl w:val="0"/>
          <w:numId w:val="12"/>
        </w:numPr>
        <w:spacing w:before="100" w:beforeAutospacing="1" w:after="100" w:afterAutospacing="1" w:line="360" w:lineRule="auto"/>
        <w:ind w:left="540" w:hanging="540"/>
        <w:contextualSpacing/>
        <w:jc w:val="both"/>
        <w:rPr>
          <w:rFonts w:ascii="Arial" w:hAnsi="Arial" w:cs="Arial"/>
          <w:lang w:val="en-ZA"/>
        </w:rPr>
      </w:pPr>
      <w:r w:rsidRPr="00597DB4">
        <w:rPr>
          <w:rFonts w:ascii="Arial" w:hAnsi="Arial" w:cs="Arial"/>
          <w:lang w:val="en-ZA"/>
        </w:rPr>
        <w:t>Two months after the end of each internship, high-level data on the employment is collected, through exit surveys.  Table 1 below provides statistics on interns’ employment and further studies.  According to the annual exit surveys, of the 5 505 interns enrolled in the Programme since inception more than 2 100 were employed (a) The number reported is a cumulative number of interns employed while in the Programme and two months after exiting, as per annual exit survey’s findings.  It should be noted that this number may have changed significantly with interns who exited the programme more than two years ago (b) Longer-term tracking of interns is currently not in place, and the impact study that has been commissioned is expected to gather data on the nature of their first employment after the internship.</w:t>
      </w:r>
    </w:p>
    <w:p w:rsidR="00597DB4" w:rsidRPr="00597DB4" w:rsidRDefault="00597DB4" w:rsidP="00597DB4">
      <w:pPr>
        <w:spacing w:before="100" w:beforeAutospacing="1" w:after="100" w:afterAutospacing="1" w:line="360" w:lineRule="auto"/>
        <w:ind w:left="720"/>
        <w:contextualSpacing/>
        <w:jc w:val="both"/>
        <w:rPr>
          <w:rFonts w:ascii="Arial" w:hAnsi="Arial" w:cs="Arial"/>
          <w:lang w:val="en-ZA"/>
        </w:rPr>
      </w:pPr>
    </w:p>
    <w:p w:rsidR="00597DB4" w:rsidRPr="00597DB4" w:rsidRDefault="00597DB4" w:rsidP="00597DB4">
      <w:pPr>
        <w:spacing w:after="0" w:line="360" w:lineRule="auto"/>
        <w:ind w:left="720"/>
        <w:contextualSpacing/>
        <w:jc w:val="both"/>
        <w:rPr>
          <w:rFonts w:ascii="Arial" w:hAnsi="Arial" w:cs="Arial"/>
          <w:lang w:val="en-ZA"/>
        </w:rPr>
      </w:pPr>
      <w:r w:rsidRPr="00597DB4">
        <w:rPr>
          <w:rFonts w:ascii="Arial" w:hAnsi="Arial" w:cs="Arial"/>
          <w:lang w:val="en-ZA"/>
        </w:rPr>
        <w:t xml:space="preserve">    Table 1: Interns’ status at the end of each internship</w:t>
      </w:r>
    </w:p>
    <w:tbl>
      <w:tblPr>
        <w:tblW w:w="6420" w:type="dxa"/>
        <w:tblInd w:w="970" w:type="dxa"/>
        <w:tblLook w:val="04A0"/>
      </w:tblPr>
      <w:tblGrid>
        <w:gridCol w:w="1709"/>
        <w:gridCol w:w="1198"/>
        <w:gridCol w:w="1209"/>
        <w:gridCol w:w="1504"/>
        <w:gridCol w:w="800"/>
      </w:tblGrid>
      <w:tr w:rsidR="00597DB4" w:rsidRPr="00597DB4" w:rsidTr="00796855">
        <w:trPr>
          <w:trHeight w:val="315"/>
          <w:tblHeader/>
        </w:trPr>
        <w:tc>
          <w:tcPr>
            <w:tcW w:w="1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rPr>
                <w:rFonts w:eastAsia="Times New Roman" w:cs="Times New Roman"/>
                <w:b/>
                <w:bCs/>
                <w:lang w:val="en-US"/>
              </w:rPr>
            </w:pPr>
            <w:r w:rsidRPr="00597DB4">
              <w:rPr>
                <w:rFonts w:eastAsia="Times New Roman" w:cs="Times New Roman"/>
                <w:b/>
                <w:bCs/>
                <w:lang w:val="en-US"/>
              </w:rPr>
              <w:t>Internship Year</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rPr>
                <w:rFonts w:eastAsia="Times New Roman" w:cs="Times New Roman"/>
                <w:b/>
                <w:bCs/>
                <w:lang w:val="en-US"/>
              </w:rPr>
            </w:pPr>
            <w:r w:rsidRPr="00597DB4">
              <w:rPr>
                <w:rFonts w:eastAsia="Times New Roman" w:cs="Times New Roman"/>
                <w:b/>
                <w:bCs/>
                <w:lang w:val="en-US"/>
              </w:rPr>
              <w:t>No. Placed</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rPr>
                <w:rFonts w:eastAsia="Times New Roman" w:cs="Times New Roman"/>
                <w:b/>
                <w:bCs/>
                <w:lang w:val="en-US"/>
              </w:rPr>
            </w:pPr>
            <w:r w:rsidRPr="00597DB4">
              <w:rPr>
                <w:rFonts w:eastAsia="Times New Roman" w:cs="Times New Roman"/>
                <w:b/>
                <w:bCs/>
                <w:lang w:val="en-US"/>
              </w:rPr>
              <w:t>Employed</w:t>
            </w:r>
          </w:p>
        </w:tc>
        <w:tc>
          <w:tcPr>
            <w:tcW w:w="1504" w:type="dxa"/>
            <w:tcBorders>
              <w:top w:val="single" w:sz="4" w:space="0" w:color="auto"/>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rPr>
                <w:rFonts w:eastAsia="Times New Roman" w:cs="Times New Roman"/>
                <w:b/>
                <w:bCs/>
                <w:lang w:val="en-US"/>
              </w:rPr>
            </w:pPr>
            <w:r w:rsidRPr="00597DB4">
              <w:rPr>
                <w:rFonts w:eastAsia="Times New Roman" w:cs="Times New Roman"/>
                <w:b/>
                <w:bCs/>
                <w:lang w:val="en-US"/>
              </w:rPr>
              <w:t>Further Study</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rPr>
                <w:rFonts w:eastAsia="Times New Roman" w:cs="Times New Roman"/>
                <w:b/>
                <w:bCs/>
                <w:lang w:val="en-US"/>
              </w:rPr>
            </w:pPr>
            <w:r w:rsidRPr="00597DB4">
              <w:rPr>
                <w:rFonts w:eastAsia="Times New Roman" w:cs="Times New Roman"/>
                <w:b/>
                <w:bCs/>
                <w:lang w:val="en-US"/>
              </w:rPr>
              <w:t>Total</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2005/06</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49</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38</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4</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42</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2006/07</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169</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135</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21</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156</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2008/09</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92</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46</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34</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80</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2009/10</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160</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70</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34</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104</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2010/11</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280</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124</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54</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178</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2011/12</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276</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96</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83</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179</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lastRenderedPageBreak/>
              <w:t>2012/13</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517</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220</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149</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369</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2013/14</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568</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232</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128</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360</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2014/15</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710</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249</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246</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495</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2015/16</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728</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253</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260</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513</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2016/17</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733</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284</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277</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561</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2017/18</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622</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172</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308</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480</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lang w:val="en-US"/>
              </w:rPr>
            </w:pPr>
            <w:r w:rsidRPr="00597DB4">
              <w:rPr>
                <w:rFonts w:eastAsia="Times New Roman" w:cs="Times New Roman"/>
                <w:lang w:val="en-US"/>
              </w:rPr>
              <w:t>*2018/19</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601</w:t>
            </w:r>
          </w:p>
        </w:tc>
        <w:tc>
          <w:tcPr>
            <w:tcW w:w="1209"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200</w:t>
            </w:r>
          </w:p>
        </w:tc>
        <w:tc>
          <w:tcPr>
            <w:tcW w:w="1504"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146</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346</w:t>
            </w:r>
          </w:p>
        </w:tc>
      </w:tr>
      <w:tr w:rsidR="00597DB4" w:rsidRPr="00597DB4" w:rsidTr="00796855">
        <w:trPr>
          <w:trHeight w:val="31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center"/>
              <w:rPr>
                <w:rFonts w:eastAsia="Times New Roman" w:cs="Times New Roman"/>
                <w:b/>
                <w:bCs/>
                <w:lang w:val="en-US"/>
              </w:rPr>
            </w:pPr>
            <w:r w:rsidRPr="00597DB4">
              <w:rPr>
                <w:rFonts w:eastAsia="Times New Roman" w:cs="Times New Roman"/>
                <w:b/>
                <w:bCs/>
                <w:lang w:val="en-US"/>
              </w:rPr>
              <w:t>Total</w:t>
            </w:r>
          </w:p>
        </w:tc>
        <w:tc>
          <w:tcPr>
            <w:tcW w:w="1198" w:type="dxa"/>
            <w:tcBorders>
              <w:top w:val="nil"/>
              <w:left w:val="nil"/>
              <w:bottom w:val="single" w:sz="4" w:space="0" w:color="auto"/>
              <w:right w:val="single" w:sz="4" w:space="0" w:color="auto"/>
            </w:tcBorders>
            <w:shd w:val="clear" w:color="000000" w:fill="FFFFFF"/>
            <w:vAlign w:val="center"/>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5505</w:t>
            </w:r>
          </w:p>
        </w:tc>
        <w:tc>
          <w:tcPr>
            <w:tcW w:w="1209" w:type="dxa"/>
            <w:tcBorders>
              <w:top w:val="nil"/>
              <w:left w:val="nil"/>
              <w:bottom w:val="single" w:sz="4" w:space="0" w:color="auto"/>
              <w:right w:val="single" w:sz="4" w:space="0" w:color="auto"/>
            </w:tcBorders>
            <w:shd w:val="clear" w:color="000000" w:fill="FFFFFF"/>
            <w:hideMark/>
          </w:tcPr>
          <w:p w:rsidR="00597DB4" w:rsidRPr="00597DB4" w:rsidRDefault="00597DB4" w:rsidP="00597DB4">
            <w:pPr>
              <w:spacing w:after="0" w:line="360" w:lineRule="auto"/>
              <w:jc w:val="right"/>
              <w:rPr>
                <w:rFonts w:eastAsia="Times New Roman" w:cs="Times New Roman"/>
                <w:lang w:val="en-US"/>
              </w:rPr>
            </w:pPr>
            <w:r w:rsidRPr="00597DB4">
              <w:rPr>
                <w:rFonts w:eastAsia="Times New Roman" w:cs="Times New Roman"/>
                <w:lang w:val="en-US"/>
              </w:rPr>
              <w:t>2119</w:t>
            </w:r>
          </w:p>
        </w:tc>
        <w:tc>
          <w:tcPr>
            <w:tcW w:w="1504" w:type="dxa"/>
            <w:tcBorders>
              <w:top w:val="nil"/>
              <w:left w:val="nil"/>
              <w:bottom w:val="single" w:sz="4" w:space="0" w:color="auto"/>
              <w:right w:val="single" w:sz="4" w:space="0" w:color="auto"/>
            </w:tcBorders>
            <w:shd w:val="clear" w:color="000000" w:fill="FFFFFF"/>
            <w:hideMark/>
          </w:tcPr>
          <w:p w:rsidR="00597DB4" w:rsidRPr="00597DB4" w:rsidRDefault="00597DB4" w:rsidP="00597DB4">
            <w:pPr>
              <w:spacing w:after="0" w:line="360" w:lineRule="auto"/>
              <w:jc w:val="right"/>
              <w:rPr>
                <w:rFonts w:eastAsia="Times New Roman" w:cs="Times New Roman"/>
                <w:lang w:val="en-US"/>
              </w:rPr>
            </w:pPr>
            <w:r w:rsidRPr="00597DB4">
              <w:rPr>
                <w:rFonts w:eastAsia="Times New Roman" w:cs="Times New Roman"/>
                <w:lang w:val="en-US"/>
              </w:rPr>
              <w:t>1744</w:t>
            </w:r>
          </w:p>
        </w:tc>
        <w:tc>
          <w:tcPr>
            <w:tcW w:w="800" w:type="dxa"/>
            <w:tcBorders>
              <w:top w:val="nil"/>
              <w:left w:val="nil"/>
              <w:bottom w:val="single" w:sz="4" w:space="0" w:color="auto"/>
              <w:right w:val="single" w:sz="4" w:space="0" w:color="auto"/>
            </w:tcBorders>
            <w:shd w:val="clear" w:color="000000" w:fill="FFFFFF"/>
            <w:noWrap/>
            <w:vAlign w:val="bottom"/>
            <w:hideMark/>
          </w:tcPr>
          <w:p w:rsidR="00597DB4" w:rsidRPr="00597DB4" w:rsidRDefault="00597DB4" w:rsidP="00597DB4">
            <w:pPr>
              <w:spacing w:after="0" w:line="360" w:lineRule="auto"/>
              <w:jc w:val="right"/>
              <w:rPr>
                <w:rFonts w:eastAsia="Times New Roman" w:cs="Times New Roman"/>
                <w:color w:val="000000"/>
                <w:lang w:val="en-US"/>
              </w:rPr>
            </w:pPr>
            <w:r w:rsidRPr="00597DB4">
              <w:rPr>
                <w:rFonts w:eastAsia="Times New Roman" w:cs="Times New Roman"/>
                <w:color w:val="000000"/>
                <w:lang w:val="en-US"/>
              </w:rPr>
              <w:t>3863</w:t>
            </w:r>
          </w:p>
        </w:tc>
      </w:tr>
    </w:tbl>
    <w:p w:rsidR="00597DB4" w:rsidRPr="00597DB4" w:rsidRDefault="00597DB4" w:rsidP="00597DB4">
      <w:pPr>
        <w:spacing w:before="100" w:beforeAutospacing="1" w:after="100" w:afterAutospacing="1" w:line="360" w:lineRule="auto"/>
        <w:ind w:left="1140"/>
        <w:contextualSpacing/>
        <w:jc w:val="both"/>
        <w:rPr>
          <w:rFonts w:ascii="Arial" w:hAnsi="Arial" w:cs="Arial"/>
          <w:lang w:val="en-ZA"/>
        </w:rPr>
      </w:pPr>
    </w:p>
    <w:p w:rsidR="00597DB4" w:rsidRDefault="00597DB4" w:rsidP="00597DB4">
      <w:pPr>
        <w:numPr>
          <w:ilvl w:val="0"/>
          <w:numId w:val="12"/>
        </w:numPr>
        <w:spacing w:before="100" w:beforeAutospacing="1" w:after="100" w:afterAutospacing="1" w:line="360" w:lineRule="auto"/>
        <w:ind w:left="540" w:hanging="540"/>
        <w:contextualSpacing/>
        <w:jc w:val="both"/>
        <w:rPr>
          <w:rFonts w:ascii="Arial" w:hAnsi="Arial" w:cs="Arial"/>
          <w:lang w:val="en-ZA"/>
        </w:rPr>
      </w:pPr>
      <w:r w:rsidRPr="00597DB4">
        <w:rPr>
          <w:rFonts w:ascii="Arial" w:hAnsi="Arial" w:cs="Arial"/>
          <w:lang w:val="en-ZA"/>
        </w:rPr>
        <w:t xml:space="preserve">As part of the intern performance management, mentors are expected to develop a detailed work plan for their respective interns for the internship period.  This includes an agreement between the mentor and the mentee to identify training needs and courses for the intern to enhance their skills and competencies such as basic project management, report writing and </w:t>
      </w:r>
      <w:r w:rsidRPr="00597DB4">
        <w:rPr>
          <w:rFonts w:ascii="Arial" w:hAnsi="Arial" w:cs="Arial"/>
          <w:i/>
          <w:lang w:val="en-ZA"/>
        </w:rPr>
        <w:t>Curriculum Vitae</w:t>
      </w:r>
      <w:r w:rsidRPr="00597DB4">
        <w:rPr>
          <w:rFonts w:ascii="Arial" w:hAnsi="Arial" w:cs="Arial"/>
          <w:lang w:val="en-ZA"/>
        </w:rPr>
        <w:t xml:space="preserve"> drafting.  Training undertaken is reported on in the intern quarterly reports.</w:t>
      </w:r>
    </w:p>
    <w:p w:rsidR="00170099" w:rsidRPr="00597DB4" w:rsidRDefault="00597DB4" w:rsidP="00597DB4">
      <w:pPr>
        <w:numPr>
          <w:ilvl w:val="0"/>
          <w:numId w:val="12"/>
        </w:numPr>
        <w:spacing w:before="100" w:beforeAutospacing="1" w:after="100" w:afterAutospacing="1" w:line="360" w:lineRule="auto"/>
        <w:ind w:left="540" w:hanging="540"/>
        <w:contextualSpacing/>
        <w:jc w:val="both"/>
        <w:rPr>
          <w:rFonts w:ascii="Arial" w:hAnsi="Arial" w:cs="Arial"/>
          <w:lang w:val="en-ZA"/>
        </w:rPr>
      </w:pPr>
      <w:bookmarkStart w:id="0" w:name="_GoBack"/>
      <w:bookmarkEnd w:id="0"/>
      <w:r w:rsidRPr="00BE663F">
        <w:rPr>
          <w:rFonts w:ascii="Arial" w:hAnsi="Arial" w:cs="Arial"/>
          <w:lang w:val="en-ZA"/>
        </w:rPr>
        <w:t>Interns are encouraged to enrol for postgraduate studies whilst participating in the Programme.  It is required that mentors support interns on their further study activities so as to ensure that interns obtain the qualifications.  The Programme makes provisions for interns to take study leaves when preparing for examinations and undertaking research activities.  Progress on studies is also reported as part of the intern quarterly reports.</w:t>
      </w:r>
    </w:p>
    <w:sectPr w:rsidR="00170099" w:rsidRPr="00597DB4" w:rsidSect="00597DB4">
      <w:pgSz w:w="12240" w:h="15840"/>
      <w:pgMar w:top="810" w:right="1320" w:bottom="280" w:left="13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5">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6">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1"/>
  </w:num>
  <w:num w:numId="2">
    <w:abstractNumId w:val="1"/>
  </w:num>
  <w:num w:numId="3">
    <w:abstractNumId w:val="2"/>
  </w:num>
  <w:num w:numId="4">
    <w:abstractNumId w:val="6"/>
  </w:num>
  <w:num w:numId="5">
    <w:abstractNumId w:val="0"/>
  </w:num>
  <w:num w:numId="6">
    <w:abstractNumId w:val="5"/>
  </w:num>
  <w:num w:numId="7">
    <w:abstractNumId w:val="4"/>
  </w:num>
  <w:num w:numId="8">
    <w:abstractNumId w:val="9"/>
  </w:num>
  <w:num w:numId="9">
    <w:abstractNumId w:val="7"/>
  </w:num>
  <w:num w:numId="10">
    <w:abstractNumId w:val="10"/>
  </w:num>
  <w:num w:numId="11">
    <w:abstractNumId w:val="8"/>
  </w:num>
  <w:num w:numId="1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722AE"/>
    <w:rsid w:val="000A0CCC"/>
    <w:rsid w:val="000E61D4"/>
    <w:rsid w:val="000E7579"/>
    <w:rsid w:val="0011715C"/>
    <w:rsid w:val="001209C5"/>
    <w:rsid w:val="00154826"/>
    <w:rsid w:val="00170099"/>
    <w:rsid w:val="00174676"/>
    <w:rsid w:val="001C75E4"/>
    <w:rsid w:val="00221B45"/>
    <w:rsid w:val="0026124A"/>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D1863"/>
    <w:rsid w:val="005101A1"/>
    <w:rsid w:val="00565BC7"/>
    <w:rsid w:val="00567D88"/>
    <w:rsid w:val="00597DB4"/>
    <w:rsid w:val="005B69E5"/>
    <w:rsid w:val="005E3618"/>
    <w:rsid w:val="00607F4B"/>
    <w:rsid w:val="00613859"/>
    <w:rsid w:val="006C1443"/>
    <w:rsid w:val="00736C94"/>
    <w:rsid w:val="00742E35"/>
    <w:rsid w:val="007816AD"/>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33C4F"/>
    <w:rsid w:val="00A36469"/>
    <w:rsid w:val="00AB78EE"/>
    <w:rsid w:val="00B04738"/>
    <w:rsid w:val="00B3399B"/>
    <w:rsid w:val="00B50624"/>
    <w:rsid w:val="00B5719A"/>
    <w:rsid w:val="00B84587"/>
    <w:rsid w:val="00BB6A2B"/>
    <w:rsid w:val="00C1004F"/>
    <w:rsid w:val="00C15C2A"/>
    <w:rsid w:val="00C81885"/>
    <w:rsid w:val="00D73705"/>
    <w:rsid w:val="00D75AD7"/>
    <w:rsid w:val="00DA2D5E"/>
    <w:rsid w:val="00DA605D"/>
    <w:rsid w:val="00DE221F"/>
    <w:rsid w:val="00DE51AD"/>
    <w:rsid w:val="00E043B5"/>
    <w:rsid w:val="00E16E1C"/>
    <w:rsid w:val="00E2201F"/>
    <w:rsid w:val="00E35CA2"/>
    <w:rsid w:val="00E92898"/>
    <w:rsid w:val="00EB0016"/>
    <w:rsid w:val="00F2381F"/>
    <w:rsid w:val="00F57F0D"/>
    <w:rsid w:val="00F74F5C"/>
    <w:rsid w:val="00FA5047"/>
    <w:rsid w:val="00FB633C"/>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pivotSource>
    <c:name>[Chart in Microsoft PowerPoint.xlsx]Sheet1!PivotTable6</c:name>
    <c:fmtId val="-1"/>
  </c:pivotSource>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b="1"/>
              <a:t>Sectors</a:t>
            </a:r>
            <a:r>
              <a:rPr lang="en-US" b="1" baseline="0"/>
              <a:t> employing interns</a:t>
            </a:r>
            <a:endParaRPr lang="en-US" b="1"/>
          </a:p>
        </c:rich>
      </c:tx>
      <c:spPr>
        <a:noFill/>
        <a:ln>
          <a:noFill/>
        </a:ln>
        <a:effectLst/>
      </c:spPr>
    </c:title>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23026583215559598"/>
          <c:y val="0.17750658052165591"/>
          <c:w val="0.74622989434013098"/>
          <c:h val="0.71241923905240501"/>
        </c:manualLayout>
      </c:layout>
      <c:barChart>
        <c:barDir val="bar"/>
        <c:grouping val="clustered"/>
        <c:ser>
          <c:idx val="0"/>
          <c:order val="0"/>
          <c:tx>
            <c:strRef>
              <c:f>Sheet1!$B$16</c:f>
              <c:strCache>
                <c:ptCount val="1"/>
                <c:pt idx="0">
                  <c:v>Total</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Sheet1!$A$17:$A$26</c:f>
              <c:strCache>
                <c:ptCount val="9"/>
                <c:pt idx="0">
                  <c:v>Government Agency</c:v>
                </c:pt>
                <c:pt idx="1">
                  <c:v>Government Department</c:v>
                </c:pt>
                <c:pt idx="2">
                  <c:v>Industry</c:v>
                </c:pt>
                <c:pt idx="3">
                  <c:v>Museum</c:v>
                </c:pt>
                <c:pt idx="4">
                  <c:v>National Facility</c:v>
                </c:pt>
                <c:pt idx="5">
                  <c:v>Research Institute</c:v>
                </c:pt>
                <c:pt idx="6">
                  <c:v>Science Centre</c:v>
                </c:pt>
                <c:pt idx="7">
                  <c:v>Science Council</c:v>
                </c:pt>
                <c:pt idx="8">
                  <c:v>University</c:v>
                </c:pt>
              </c:strCache>
            </c:strRef>
          </c:cat>
          <c:val>
            <c:numRef>
              <c:f>Sheet1!$B$17:$B$26</c:f>
              <c:numCache>
                <c:formatCode>0.0%</c:formatCode>
                <c:ptCount val="9"/>
                <c:pt idx="0">
                  <c:v>8.1395348837209364E-2</c:v>
                </c:pt>
                <c:pt idx="1">
                  <c:v>0.12790697674418605</c:v>
                </c:pt>
                <c:pt idx="2">
                  <c:v>0.30523255813953476</c:v>
                </c:pt>
                <c:pt idx="3">
                  <c:v>8.7209302325581446E-3</c:v>
                </c:pt>
                <c:pt idx="4">
                  <c:v>3.7790697674418602E-2</c:v>
                </c:pt>
                <c:pt idx="5">
                  <c:v>0.13953488372093029</c:v>
                </c:pt>
                <c:pt idx="6">
                  <c:v>2.0348837209302337E-2</c:v>
                </c:pt>
                <c:pt idx="7">
                  <c:v>2.9069767441860475E-2</c:v>
                </c:pt>
                <c:pt idx="8">
                  <c:v>0.25</c:v>
                </c:pt>
              </c:numCache>
            </c:numRef>
          </c:val>
          <c:extLst xmlns:c16r2="http://schemas.microsoft.com/office/drawing/2015/06/chart">
            <c:ext xmlns:c16="http://schemas.microsoft.com/office/drawing/2014/chart" uri="{C3380CC4-5D6E-409C-BE32-E72D297353CC}">
              <c16:uniqueId val="{00000000-4712-401A-B822-8C32626BACE4}"/>
            </c:ext>
          </c:extLst>
        </c:ser>
        <c:dLbls>
          <c:showVal val="1"/>
        </c:dLbls>
        <c:gapWidth val="219"/>
        <c:axId val="103879808"/>
        <c:axId val="105411712"/>
      </c:barChart>
      <c:catAx>
        <c:axId val="1038798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5411712"/>
        <c:crosses val="autoZero"/>
        <c:auto val="1"/>
        <c:lblAlgn val="ctr"/>
        <c:lblOffset val="100"/>
      </c:catAx>
      <c:valAx>
        <c:axId val="10541171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tickLblPos val="nextTo"/>
        <c:crossAx val="1038798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extLst xmlns:c16r2="http://schemas.microsoft.com/office/drawing/2015/06/chart">
    <c:ext xmlns:c14="http://schemas.microsoft.com/office/drawing/2007/8/2/chart" uri="{781A3756-C4B2-4CAC-9D66-4F8BD8637D16}">
      <c14:pivotOptions>
        <c14:dropZoneFilter val="1"/>
        <c14:dropZoneCategories val="1"/>
        <c14:dropZoneData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2020-11-11T10:16:00Z</dcterms:created>
  <dcterms:modified xsi:type="dcterms:W3CDTF">2020-11-11T10:16:00Z</dcterms:modified>
</cp:coreProperties>
</file>