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7F" w:rsidRPr="001B0917" w:rsidRDefault="0047127F" w:rsidP="005F1971">
      <w:pPr>
        <w:tabs>
          <w:tab w:val="left" w:pos="432"/>
          <w:tab w:val="left" w:pos="864"/>
        </w:tabs>
        <w:spacing w:line="360" w:lineRule="auto"/>
        <w:jc w:val="center"/>
        <w:rPr>
          <w:rFonts w:ascii="Arial" w:hAnsi="Arial" w:cs="Arial"/>
          <w:b/>
          <w:sz w:val="22"/>
          <w:szCs w:val="22"/>
        </w:rPr>
      </w:pPr>
      <w:r w:rsidRPr="001B0917">
        <w:rPr>
          <w:rFonts w:ascii="Arial" w:hAnsi="Arial" w:cs="Arial"/>
          <w:b/>
          <w:sz w:val="22"/>
          <w:szCs w:val="22"/>
        </w:rPr>
        <w:t>NATIONAL ASSEMBLY</w:t>
      </w:r>
    </w:p>
    <w:p w:rsidR="0047127F" w:rsidRPr="00063E28" w:rsidRDefault="0047127F" w:rsidP="005F1971">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5F1971">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 xml:space="preserve">QUESTION NUMBER: </w:t>
      </w:r>
      <w:r w:rsidR="00615DAE">
        <w:rPr>
          <w:rFonts w:ascii="Arial" w:hAnsi="Arial" w:cs="Arial"/>
          <w:b/>
          <w:sz w:val="22"/>
          <w:szCs w:val="22"/>
        </w:rPr>
        <w:t>251</w:t>
      </w:r>
      <w:r w:rsidR="0059067C">
        <w:rPr>
          <w:rFonts w:ascii="Arial" w:hAnsi="Arial" w:cs="Arial"/>
          <w:b/>
          <w:sz w:val="22"/>
          <w:szCs w:val="22"/>
        </w:rPr>
        <w:t>8</w:t>
      </w:r>
      <w:r w:rsidRPr="00063E28">
        <w:rPr>
          <w:rFonts w:ascii="Arial" w:hAnsi="Arial" w:cs="Arial"/>
          <w:b/>
          <w:sz w:val="22"/>
          <w:szCs w:val="22"/>
        </w:rPr>
        <w:t xml:space="preserve"> [</w:t>
      </w:r>
      <w:r w:rsidRPr="009951EA">
        <w:rPr>
          <w:rFonts w:ascii="Arial" w:hAnsi="Arial" w:cs="Arial"/>
          <w:b/>
          <w:sz w:val="22"/>
          <w:szCs w:val="22"/>
          <w:lang w:val="en-ZA"/>
        </w:rPr>
        <w:t>NW</w:t>
      </w:r>
      <w:r w:rsidR="00007859">
        <w:rPr>
          <w:rFonts w:ascii="Arial" w:hAnsi="Arial" w:cs="Arial"/>
          <w:b/>
          <w:sz w:val="22"/>
          <w:szCs w:val="22"/>
          <w:lang w:val="en-ZA"/>
        </w:rPr>
        <w:t>2</w:t>
      </w:r>
      <w:r w:rsidR="00615DAE">
        <w:rPr>
          <w:rFonts w:ascii="Arial" w:hAnsi="Arial" w:cs="Arial"/>
          <w:b/>
          <w:sz w:val="22"/>
          <w:szCs w:val="22"/>
          <w:lang w:val="en-ZA"/>
        </w:rPr>
        <w:t>80</w:t>
      </w:r>
      <w:r w:rsidR="0059067C">
        <w:rPr>
          <w:rFonts w:ascii="Arial" w:hAnsi="Arial" w:cs="Arial"/>
          <w:b/>
          <w:sz w:val="22"/>
          <w:szCs w:val="22"/>
          <w:lang w:val="en-ZA"/>
        </w:rPr>
        <w:t>5</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5F1971">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 xml:space="preserve">DATE OF PUBLICATION: </w:t>
      </w:r>
      <w:r w:rsidR="00615DAE">
        <w:rPr>
          <w:rFonts w:ascii="Arial" w:hAnsi="Arial" w:cs="Arial"/>
          <w:b/>
          <w:sz w:val="22"/>
          <w:szCs w:val="22"/>
        </w:rPr>
        <w:t>31</w:t>
      </w:r>
      <w:r>
        <w:rPr>
          <w:rFonts w:ascii="Arial" w:hAnsi="Arial" w:cs="Arial"/>
          <w:b/>
          <w:sz w:val="22"/>
          <w:szCs w:val="22"/>
        </w:rPr>
        <w:t xml:space="preserve"> AUGUST</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59067C" w:rsidRPr="0059067C" w:rsidRDefault="0059067C" w:rsidP="0059067C">
      <w:pPr>
        <w:spacing w:before="100" w:beforeAutospacing="1" w:after="100" w:afterAutospacing="1" w:line="276" w:lineRule="auto"/>
        <w:ind w:left="720" w:hanging="720"/>
        <w:jc w:val="both"/>
        <w:outlineLvl w:val="0"/>
        <w:rPr>
          <w:rFonts w:ascii="Arial" w:eastAsia="Calibri" w:hAnsi="Arial" w:cs="Arial"/>
          <w:b/>
          <w:sz w:val="22"/>
          <w:szCs w:val="22"/>
          <w:lang w:val="en-GB"/>
        </w:rPr>
      </w:pPr>
      <w:r w:rsidRPr="0059067C">
        <w:rPr>
          <w:rFonts w:ascii="Arial" w:eastAsia="Calibri" w:hAnsi="Arial" w:cs="Arial"/>
          <w:b/>
          <w:sz w:val="22"/>
          <w:szCs w:val="22"/>
          <w:lang w:val="en-GB"/>
        </w:rPr>
        <w:t>2518.</w:t>
      </w:r>
      <w:r w:rsidRPr="0059067C">
        <w:rPr>
          <w:rFonts w:ascii="Arial" w:eastAsia="Calibri" w:hAnsi="Arial" w:cs="Arial"/>
          <w:b/>
          <w:sz w:val="22"/>
          <w:szCs w:val="22"/>
          <w:lang w:val="en-GB"/>
        </w:rPr>
        <w:tab/>
        <w:t>Mr K J Mileham (DA) to ask the Minister of Finance:</w:t>
      </w:r>
    </w:p>
    <w:p w:rsidR="0059067C" w:rsidRPr="0059067C" w:rsidRDefault="0059067C" w:rsidP="005F1971">
      <w:pPr>
        <w:pBdr>
          <w:top w:val="nil"/>
          <w:left w:val="nil"/>
          <w:bottom w:val="nil"/>
          <w:right w:val="nil"/>
          <w:between w:val="nil"/>
        </w:pBdr>
        <w:spacing w:before="100" w:beforeAutospacing="1" w:after="100" w:afterAutospacing="1" w:line="276" w:lineRule="auto"/>
        <w:ind w:left="720" w:hanging="720"/>
        <w:jc w:val="both"/>
        <w:rPr>
          <w:rFonts w:ascii="Arial" w:eastAsia="Calibri" w:hAnsi="Arial" w:cs="Arial"/>
          <w:color w:val="000000"/>
          <w:sz w:val="22"/>
          <w:szCs w:val="22"/>
          <w:lang w:val="en-GB" w:eastAsia="en-ZA"/>
        </w:rPr>
      </w:pPr>
      <w:r w:rsidRPr="0059067C">
        <w:rPr>
          <w:rFonts w:ascii="Arial" w:eastAsia="Calibri" w:hAnsi="Arial" w:cs="Arial"/>
          <w:color w:val="000000"/>
          <w:sz w:val="22"/>
          <w:szCs w:val="22"/>
          <w:lang w:val="en-GB" w:eastAsia="en-ZA"/>
        </w:rPr>
        <w:t>(1)</w:t>
      </w:r>
      <w:r w:rsidRPr="0059067C">
        <w:rPr>
          <w:rFonts w:ascii="Arial" w:eastAsia="Calibri" w:hAnsi="Arial" w:cs="Arial"/>
          <w:color w:val="000000"/>
          <w:sz w:val="22"/>
          <w:szCs w:val="22"/>
          <w:lang w:val="en-GB" w:eastAsia="en-ZA"/>
        </w:rPr>
        <w:tab/>
        <w:t>What (a) was the (i) nature and (ii) terms of the directive issued by the Bank Supervision Department of the SA Reserve Bank (SARB) to the VBS Mutual Bank for noncompliance with anti-money laundering and/or combatting the financing of terrorism regulations in the 2016-17 financial year and (b) remedial action was the VBS Mutual Bank instructed to take in terms of the specified directive;</w:t>
      </w:r>
    </w:p>
    <w:p w:rsidR="0059067C" w:rsidRPr="0059067C" w:rsidRDefault="0059067C" w:rsidP="005F1971">
      <w:pPr>
        <w:pBdr>
          <w:top w:val="nil"/>
          <w:left w:val="nil"/>
          <w:bottom w:val="nil"/>
          <w:right w:val="nil"/>
          <w:between w:val="nil"/>
        </w:pBdr>
        <w:spacing w:before="100" w:beforeAutospacing="1" w:after="100" w:afterAutospacing="1" w:line="276" w:lineRule="auto"/>
        <w:ind w:left="720" w:hanging="720"/>
        <w:jc w:val="both"/>
        <w:rPr>
          <w:rFonts w:ascii="Arial" w:eastAsia="Calibri" w:hAnsi="Arial" w:cs="Arial"/>
          <w:color w:val="000000"/>
          <w:sz w:val="22"/>
          <w:szCs w:val="22"/>
          <w:lang w:val="en-GB" w:eastAsia="en-ZA"/>
        </w:rPr>
      </w:pPr>
      <w:r w:rsidRPr="0059067C">
        <w:rPr>
          <w:rFonts w:ascii="Arial" w:eastAsia="Calibri" w:hAnsi="Arial" w:cs="Arial"/>
          <w:color w:val="000000"/>
          <w:sz w:val="22"/>
          <w:szCs w:val="22"/>
          <w:lang w:val="en-GB" w:eastAsia="en-ZA"/>
        </w:rPr>
        <w:t>(2)</w:t>
      </w:r>
      <w:r w:rsidRPr="0059067C">
        <w:rPr>
          <w:rFonts w:ascii="Arial" w:eastAsia="Calibri" w:hAnsi="Arial" w:cs="Arial"/>
          <w:color w:val="000000"/>
          <w:sz w:val="22"/>
          <w:szCs w:val="22"/>
          <w:lang w:val="en-GB" w:eastAsia="en-ZA"/>
        </w:rPr>
        <w:tab/>
        <w:t>whether the VBS Mutual Bank took steps to comply with the directive; if so, what are the details of the remedial action taken by the bank to comply with the directive;</w:t>
      </w:r>
    </w:p>
    <w:p w:rsidR="005F1971" w:rsidRDefault="0059067C" w:rsidP="005F1971">
      <w:pPr>
        <w:spacing w:before="100" w:beforeAutospacing="1" w:after="100" w:afterAutospacing="1" w:line="276" w:lineRule="auto"/>
        <w:ind w:left="720" w:hanging="720"/>
        <w:jc w:val="both"/>
        <w:rPr>
          <w:rFonts w:ascii="Arial" w:eastAsia="Calibri" w:hAnsi="Arial" w:cs="Arial"/>
          <w:sz w:val="22"/>
          <w:szCs w:val="22"/>
          <w:lang w:val="en-GB"/>
        </w:rPr>
      </w:pPr>
      <w:r w:rsidRPr="0059067C">
        <w:rPr>
          <w:rFonts w:ascii="Arial" w:eastAsia="Calibri" w:hAnsi="Arial" w:cs="Arial"/>
          <w:color w:val="000000"/>
          <w:sz w:val="22"/>
          <w:szCs w:val="22"/>
          <w:lang w:val="en-GB" w:eastAsia="en-ZA"/>
        </w:rPr>
        <w:t>(3)</w:t>
      </w:r>
      <w:r w:rsidRPr="0059067C">
        <w:rPr>
          <w:rFonts w:ascii="Arial" w:eastAsia="Calibri" w:hAnsi="Arial" w:cs="Arial"/>
          <w:color w:val="000000"/>
          <w:sz w:val="22"/>
          <w:szCs w:val="22"/>
          <w:lang w:val="en-GB" w:eastAsia="en-ZA"/>
        </w:rPr>
        <w:tab/>
        <w:t>whether the Bank Supervision Department of the SARB took any steps to monitor and enforce compliance with the directive; if not, why not; if so, (a) what steps were taken and (b) how often was monitoring conducted</w:t>
      </w:r>
      <w:r w:rsidRPr="0059067C">
        <w:rPr>
          <w:rFonts w:ascii="Arial" w:eastAsia="Calibri" w:hAnsi="Arial" w:cs="Arial"/>
          <w:sz w:val="22"/>
          <w:szCs w:val="22"/>
          <w:lang w:val="en-GB"/>
        </w:rPr>
        <w:t>?</w:t>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sidRPr="0059067C">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p>
    <w:p w:rsidR="0059067C" w:rsidRPr="0059067C" w:rsidRDefault="0059067C" w:rsidP="005F1971">
      <w:pPr>
        <w:spacing w:before="100" w:beforeAutospacing="1" w:after="100" w:afterAutospacing="1" w:line="276" w:lineRule="auto"/>
        <w:ind w:left="720" w:hanging="720"/>
        <w:jc w:val="right"/>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bookmarkStart w:id="0" w:name="_GoBack"/>
      <w:r w:rsidRPr="0059067C">
        <w:rPr>
          <w:rFonts w:ascii="Arial" w:eastAsia="Calibri" w:hAnsi="Arial" w:cs="Arial"/>
          <w:sz w:val="22"/>
          <w:szCs w:val="22"/>
          <w:lang w:val="en-GB"/>
        </w:rPr>
        <w:t>NW2805E</w:t>
      </w:r>
      <w:bookmarkEnd w:id="0"/>
    </w:p>
    <w:p w:rsidR="002E5CCB" w:rsidRPr="005F1971" w:rsidRDefault="001433AE" w:rsidP="005F1971">
      <w:pPr>
        <w:spacing w:before="100" w:beforeAutospacing="1" w:after="100" w:afterAutospacing="1"/>
        <w:jc w:val="both"/>
        <w:outlineLvl w:val="0"/>
        <w:rPr>
          <w:rFonts w:ascii="Arial" w:hAnsi="Arial" w:cs="Arial"/>
          <w:sz w:val="22"/>
          <w:szCs w:val="22"/>
        </w:rPr>
      </w:pPr>
      <w:r w:rsidRPr="005F1971">
        <w:rPr>
          <w:rFonts w:ascii="Arial" w:hAnsi="Arial" w:cs="Arial"/>
          <w:b/>
          <w:sz w:val="22"/>
          <w:szCs w:val="22"/>
        </w:rPr>
        <w:t>REPLY</w:t>
      </w:r>
      <w:r w:rsidRPr="005F1971">
        <w:rPr>
          <w:rFonts w:ascii="Arial" w:hAnsi="Arial" w:cs="Arial"/>
          <w:sz w:val="22"/>
          <w:szCs w:val="22"/>
        </w:rPr>
        <w:t>:</w:t>
      </w:r>
    </w:p>
    <w:p w:rsidR="008C7CCE" w:rsidRPr="005F1971" w:rsidRDefault="008C7CCE" w:rsidP="005F1971">
      <w:pPr>
        <w:jc w:val="both"/>
        <w:rPr>
          <w:rFonts w:ascii="Arial" w:hAnsi="Arial" w:cs="Arial"/>
          <w:color w:val="1F497D"/>
          <w:sz w:val="22"/>
          <w:szCs w:val="22"/>
          <w:lang w:val="en-ZA"/>
        </w:rPr>
      </w:pPr>
      <w:r w:rsidRPr="005F1971">
        <w:rPr>
          <w:rFonts w:ascii="Arial" w:hAnsi="Arial" w:cs="Arial"/>
          <w:sz w:val="22"/>
          <w:szCs w:val="22"/>
        </w:rPr>
        <w:t>The SA Reserve Bank is the authority responsible for the supervision of banks and mutual banks in terms of the FIC Act and has provided the following response</w:t>
      </w:r>
      <w:r w:rsidRPr="005F1971">
        <w:rPr>
          <w:rFonts w:ascii="Arial" w:hAnsi="Arial" w:cs="Arial"/>
          <w:color w:val="1F497D"/>
          <w:sz w:val="22"/>
          <w:szCs w:val="22"/>
          <w:lang w:val="en-ZA"/>
        </w:rPr>
        <w:t>:</w:t>
      </w:r>
    </w:p>
    <w:p w:rsidR="00D15925" w:rsidRPr="005F1971" w:rsidRDefault="00D15925" w:rsidP="005F1971">
      <w:pPr>
        <w:pBdr>
          <w:top w:val="nil"/>
          <w:left w:val="nil"/>
          <w:bottom w:val="nil"/>
          <w:right w:val="nil"/>
          <w:between w:val="nil"/>
        </w:pBdr>
        <w:jc w:val="both"/>
        <w:rPr>
          <w:rFonts w:ascii="Arial" w:hAnsi="Arial" w:cs="Arial"/>
          <w:sz w:val="22"/>
          <w:szCs w:val="22"/>
        </w:rPr>
      </w:pPr>
    </w:p>
    <w:p w:rsidR="000A4421" w:rsidRPr="005F1971" w:rsidRDefault="006E510D" w:rsidP="005F1971">
      <w:pPr>
        <w:pStyle w:val="ListParagraph"/>
        <w:numPr>
          <w:ilvl w:val="0"/>
          <w:numId w:val="38"/>
        </w:numPr>
        <w:pBdr>
          <w:top w:val="nil"/>
          <w:left w:val="nil"/>
          <w:bottom w:val="nil"/>
          <w:right w:val="nil"/>
          <w:between w:val="nil"/>
        </w:pBdr>
        <w:jc w:val="both"/>
        <w:rPr>
          <w:rFonts w:ascii="Arial" w:hAnsi="Arial" w:cs="Arial"/>
          <w:sz w:val="22"/>
          <w:szCs w:val="22"/>
        </w:rPr>
      </w:pPr>
      <w:r w:rsidRPr="005F1971">
        <w:rPr>
          <w:rFonts w:ascii="Arial" w:hAnsi="Arial" w:cs="Arial"/>
          <w:sz w:val="22"/>
          <w:szCs w:val="22"/>
        </w:rPr>
        <w:t xml:space="preserve"> </w:t>
      </w:r>
      <w:r w:rsidR="009B5BC5" w:rsidRPr="005F1971">
        <w:rPr>
          <w:rFonts w:ascii="Arial" w:hAnsi="Arial" w:cs="Arial"/>
          <w:sz w:val="22"/>
          <w:szCs w:val="22"/>
        </w:rPr>
        <w:t>Information pertaining to the</w:t>
      </w:r>
      <w:r w:rsidR="00061F3E" w:rsidRPr="005F1971">
        <w:rPr>
          <w:rFonts w:ascii="Arial" w:hAnsi="Arial" w:cs="Arial"/>
          <w:sz w:val="22"/>
          <w:szCs w:val="22"/>
        </w:rPr>
        <w:t xml:space="preserve"> administrative sanctions imposed on VBS Mutual Bank for its non-compliance with the FIC Act </w:t>
      </w:r>
      <w:r w:rsidR="000A4421" w:rsidRPr="005F1971">
        <w:rPr>
          <w:rFonts w:ascii="Arial" w:hAnsi="Arial" w:cs="Arial"/>
          <w:sz w:val="22"/>
          <w:szCs w:val="22"/>
        </w:rPr>
        <w:t>was set out in the SARB’s media statement published on 4 August 201</w:t>
      </w:r>
      <w:r w:rsidR="00061F3E" w:rsidRPr="005F1971">
        <w:rPr>
          <w:rFonts w:ascii="Arial" w:hAnsi="Arial" w:cs="Arial"/>
          <w:sz w:val="22"/>
          <w:szCs w:val="22"/>
        </w:rPr>
        <w:t>7</w:t>
      </w:r>
      <w:r w:rsidR="000A4421" w:rsidRPr="005F1971">
        <w:rPr>
          <w:rFonts w:ascii="Arial" w:hAnsi="Arial" w:cs="Arial"/>
          <w:sz w:val="22"/>
          <w:szCs w:val="22"/>
        </w:rPr>
        <w:t>.</w:t>
      </w:r>
      <w:r w:rsidR="005F1971">
        <w:rPr>
          <w:rFonts w:ascii="Arial" w:hAnsi="Arial" w:cs="Arial"/>
          <w:sz w:val="22"/>
          <w:szCs w:val="22"/>
        </w:rPr>
        <w:t xml:space="preserve">  </w:t>
      </w:r>
      <w:r w:rsidR="000A4421" w:rsidRPr="005F1971">
        <w:rPr>
          <w:rFonts w:ascii="Arial" w:hAnsi="Arial" w:cs="Arial"/>
          <w:sz w:val="22"/>
          <w:szCs w:val="22"/>
        </w:rPr>
        <w:t xml:space="preserve">For the </w:t>
      </w:r>
      <w:r w:rsidR="00D42526" w:rsidRPr="005F1971">
        <w:rPr>
          <w:rFonts w:ascii="Arial" w:hAnsi="Arial" w:cs="Arial"/>
          <w:sz w:val="22"/>
          <w:szCs w:val="22"/>
        </w:rPr>
        <w:t>ease of reference</w:t>
      </w:r>
      <w:r w:rsidR="000A4421" w:rsidRPr="005F1971">
        <w:rPr>
          <w:rFonts w:ascii="Arial" w:hAnsi="Arial" w:cs="Arial"/>
          <w:sz w:val="22"/>
          <w:szCs w:val="22"/>
        </w:rPr>
        <w:t xml:space="preserve">, </w:t>
      </w:r>
      <w:r w:rsidR="009B5BC5" w:rsidRPr="005F1971">
        <w:rPr>
          <w:rFonts w:ascii="Arial" w:hAnsi="Arial" w:cs="Arial"/>
          <w:sz w:val="22"/>
          <w:szCs w:val="22"/>
        </w:rPr>
        <w:t xml:space="preserve">the </w:t>
      </w:r>
      <w:r w:rsidR="000A4421" w:rsidRPr="005F1971">
        <w:rPr>
          <w:rFonts w:ascii="Arial" w:hAnsi="Arial" w:cs="Arial"/>
          <w:sz w:val="22"/>
          <w:szCs w:val="22"/>
        </w:rPr>
        <w:t xml:space="preserve">details </w:t>
      </w:r>
      <w:r w:rsidR="009B5BC5" w:rsidRPr="005F1971">
        <w:rPr>
          <w:rFonts w:ascii="Arial" w:hAnsi="Arial" w:cs="Arial"/>
          <w:sz w:val="22"/>
          <w:szCs w:val="22"/>
        </w:rPr>
        <w:t xml:space="preserve">as per </w:t>
      </w:r>
      <w:r w:rsidR="000A4421" w:rsidRPr="005F1971">
        <w:rPr>
          <w:rFonts w:ascii="Arial" w:hAnsi="Arial" w:cs="Arial"/>
          <w:sz w:val="22"/>
          <w:szCs w:val="22"/>
        </w:rPr>
        <w:t xml:space="preserve">the media statement </w:t>
      </w:r>
      <w:r w:rsidR="009B5BC5" w:rsidRPr="005F1971">
        <w:rPr>
          <w:rFonts w:ascii="Arial" w:hAnsi="Arial" w:cs="Arial"/>
          <w:sz w:val="22"/>
          <w:szCs w:val="22"/>
        </w:rPr>
        <w:t xml:space="preserve">have been </w:t>
      </w:r>
      <w:r w:rsidR="000A4421" w:rsidRPr="005F1971">
        <w:rPr>
          <w:rFonts w:ascii="Arial" w:hAnsi="Arial" w:cs="Arial"/>
          <w:sz w:val="22"/>
          <w:szCs w:val="22"/>
        </w:rPr>
        <w:t>set out below:</w:t>
      </w:r>
    </w:p>
    <w:p w:rsidR="000A4421" w:rsidRPr="005F1971" w:rsidRDefault="000A4421" w:rsidP="005F1971">
      <w:pPr>
        <w:pStyle w:val="Default"/>
        <w:jc w:val="both"/>
        <w:rPr>
          <w:rFonts w:ascii="Arial" w:hAnsi="Arial" w:cs="Arial"/>
          <w:sz w:val="22"/>
          <w:szCs w:val="22"/>
        </w:rPr>
      </w:pPr>
    </w:p>
    <w:p w:rsidR="000A4421" w:rsidRPr="005F1971" w:rsidRDefault="000A4421" w:rsidP="005F1971">
      <w:pPr>
        <w:pStyle w:val="Default"/>
        <w:ind w:left="360"/>
        <w:jc w:val="both"/>
        <w:rPr>
          <w:rFonts w:ascii="Arial" w:hAnsi="Arial" w:cs="Arial"/>
          <w:i/>
          <w:sz w:val="22"/>
          <w:szCs w:val="22"/>
        </w:rPr>
      </w:pPr>
      <w:r w:rsidRPr="005F1971">
        <w:rPr>
          <w:rFonts w:ascii="Arial" w:hAnsi="Arial" w:cs="Arial"/>
          <w:i/>
          <w:sz w:val="22"/>
          <w:szCs w:val="22"/>
        </w:rPr>
        <w:t xml:space="preserve">“The South African Reserve Bank (SARB) has imposed administrative sanctions on VBS Mutual Bank (VBS) for non-compliance with the Financial Intelligence Centre Act 38 of 2001, as amended (FIC Act) and has directed VBS to take remedial action. This was after the SARB conducted an inspection in terms of the FIC Act and found weaknesses in VBS’s anti-money laundering and combating the financing of terrorism control measures. </w:t>
      </w:r>
    </w:p>
    <w:p w:rsidR="005F1971" w:rsidRDefault="005F1971" w:rsidP="005F1971">
      <w:pPr>
        <w:pStyle w:val="Default"/>
        <w:ind w:left="360"/>
        <w:jc w:val="both"/>
        <w:rPr>
          <w:rFonts w:ascii="Arial" w:hAnsi="Arial" w:cs="Arial"/>
          <w:i/>
          <w:sz w:val="22"/>
          <w:szCs w:val="22"/>
        </w:rPr>
      </w:pPr>
    </w:p>
    <w:p w:rsidR="000A4421" w:rsidRPr="005F1971" w:rsidRDefault="000A4421" w:rsidP="005F1971">
      <w:pPr>
        <w:pStyle w:val="Default"/>
        <w:ind w:left="360"/>
        <w:jc w:val="both"/>
        <w:rPr>
          <w:rFonts w:ascii="Arial" w:hAnsi="Arial" w:cs="Arial"/>
          <w:i/>
          <w:sz w:val="22"/>
          <w:szCs w:val="22"/>
        </w:rPr>
      </w:pPr>
      <w:r w:rsidRPr="005F1971">
        <w:rPr>
          <w:rFonts w:ascii="Arial" w:hAnsi="Arial" w:cs="Arial"/>
          <w:i/>
          <w:sz w:val="22"/>
          <w:szCs w:val="22"/>
        </w:rPr>
        <w:t xml:space="preserve">The FIC Act mandates the SARB to ensure that banks have adequate controls in place to combat acts of money laundering and the financing of terrorism. Flowing from these responsibilities, the SARB inspects banks to assess whether they have appropriate measures in place as required by the FIC Act. </w:t>
      </w:r>
    </w:p>
    <w:p w:rsidR="000A4421" w:rsidRPr="005F1971" w:rsidRDefault="000A4421" w:rsidP="005F1971">
      <w:pPr>
        <w:pStyle w:val="Default"/>
        <w:jc w:val="both"/>
        <w:rPr>
          <w:rFonts w:ascii="Arial" w:hAnsi="Arial" w:cs="Arial"/>
          <w:i/>
          <w:sz w:val="22"/>
          <w:szCs w:val="22"/>
        </w:rPr>
      </w:pPr>
    </w:p>
    <w:p w:rsidR="000A4421" w:rsidRPr="005F1971" w:rsidRDefault="000A4421" w:rsidP="005F1971">
      <w:pPr>
        <w:pStyle w:val="Default"/>
        <w:ind w:left="720"/>
        <w:jc w:val="both"/>
        <w:rPr>
          <w:rFonts w:ascii="Arial" w:hAnsi="Arial" w:cs="Arial"/>
          <w:i/>
          <w:sz w:val="22"/>
          <w:szCs w:val="22"/>
        </w:rPr>
      </w:pPr>
      <w:r w:rsidRPr="005F1971">
        <w:rPr>
          <w:rFonts w:ascii="Arial" w:hAnsi="Arial" w:cs="Arial"/>
          <w:i/>
          <w:sz w:val="22"/>
          <w:szCs w:val="22"/>
        </w:rPr>
        <w:lastRenderedPageBreak/>
        <w:t xml:space="preserve">It should be noted that the administrative sanctions were not imposed because VBS was found to have facilitated transactions involving money laundering or the financing of terrorism but because of weaknesses in VBS’s control measures. </w:t>
      </w:r>
    </w:p>
    <w:p w:rsidR="000A4421" w:rsidRPr="005F1971" w:rsidRDefault="000A4421" w:rsidP="005F1971">
      <w:pPr>
        <w:pStyle w:val="Default"/>
        <w:jc w:val="both"/>
        <w:rPr>
          <w:rFonts w:ascii="Arial" w:hAnsi="Arial" w:cs="Arial"/>
          <w:i/>
          <w:sz w:val="22"/>
          <w:szCs w:val="22"/>
        </w:rPr>
      </w:pPr>
    </w:p>
    <w:p w:rsidR="000A4421" w:rsidRDefault="000A4421" w:rsidP="005F1971">
      <w:pPr>
        <w:pStyle w:val="Default"/>
        <w:ind w:left="720"/>
        <w:jc w:val="both"/>
        <w:rPr>
          <w:rFonts w:ascii="Arial" w:hAnsi="Arial" w:cs="Arial"/>
          <w:i/>
          <w:sz w:val="22"/>
          <w:szCs w:val="22"/>
        </w:rPr>
      </w:pPr>
      <w:r w:rsidRPr="005F1971">
        <w:rPr>
          <w:rFonts w:ascii="Arial" w:hAnsi="Arial" w:cs="Arial"/>
          <w:i/>
          <w:sz w:val="22"/>
          <w:szCs w:val="22"/>
        </w:rPr>
        <w:t xml:space="preserve">The administrative sanctions imposed on VBS are a financial penalty of R2.5 million and a directive to take remedial action in the following areas: </w:t>
      </w:r>
    </w:p>
    <w:p w:rsidR="005F1971" w:rsidRPr="005F1971" w:rsidRDefault="005F1971" w:rsidP="005F1971">
      <w:pPr>
        <w:pStyle w:val="Default"/>
        <w:ind w:left="720"/>
        <w:jc w:val="both"/>
        <w:rPr>
          <w:rFonts w:ascii="Arial" w:hAnsi="Arial" w:cs="Arial"/>
          <w:i/>
          <w:sz w:val="22"/>
          <w:szCs w:val="22"/>
        </w:rPr>
      </w:pPr>
    </w:p>
    <w:p w:rsidR="000A4421" w:rsidRPr="005F1971" w:rsidRDefault="000A4421" w:rsidP="005F1971">
      <w:pPr>
        <w:pStyle w:val="Default"/>
        <w:numPr>
          <w:ilvl w:val="0"/>
          <w:numId w:val="36"/>
        </w:numPr>
        <w:jc w:val="both"/>
        <w:rPr>
          <w:rFonts w:ascii="Arial" w:hAnsi="Arial" w:cs="Arial"/>
          <w:i/>
          <w:sz w:val="22"/>
          <w:szCs w:val="22"/>
        </w:rPr>
      </w:pPr>
      <w:r w:rsidRPr="005F1971">
        <w:rPr>
          <w:rFonts w:ascii="Arial" w:hAnsi="Arial" w:cs="Arial"/>
          <w:i/>
          <w:sz w:val="22"/>
          <w:szCs w:val="22"/>
        </w:rPr>
        <w:t xml:space="preserve">identifying and verifying customers’ details (better known as </w:t>
      </w:r>
      <w:r w:rsidRPr="005F1971">
        <w:rPr>
          <w:rFonts w:ascii="Arial" w:hAnsi="Arial" w:cs="Arial"/>
          <w:i/>
          <w:iCs/>
          <w:sz w:val="22"/>
          <w:szCs w:val="22"/>
        </w:rPr>
        <w:t xml:space="preserve">know-your-customer or KYC </w:t>
      </w:r>
      <w:r w:rsidRPr="005F1971">
        <w:rPr>
          <w:rFonts w:ascii="Arial" w:hAnsi="Arial" w:cs="Arial"/>
          <w:i/>
          <w:sz w:val="22"/>
          <w:szCs w:val="22"/>
        </w:rPr>
        <w:t xml:space="preserve">requirements); </w:t>
      </w:r>
    </w:p>
    <w:p w:rsidR="005F1971" w:rsidRDefault="005F1971" w:rsidP="005F1971">
      <w:pPr>
        <w:pStyle w:val="Default"/>
        <w:ind w:left="720"/>
        <w:jc w:val="both"/>
        <w:rPr>
          <w:rFonts w:ascii="Arial" w:hAnsi="Arial" w:cs="Arial"/>
          <w:i/>
          <w:sz w:val="22"/>
          <w:szCs w:val="22"/>
        </w:rPr>
      </w:pPr>
    </w:p>
    <w:p w:rsidR="000A4421" w:rsidRPr="005F1971" w:rsidRDefault="000A4421" w:rsidP="005F1971">
      <w:pPr>
        <w:pStyle w:val="Default"/>
        <w:numPr>
          <w:ilvl w:val="0"/>
          <w:numId w:val="36"/>
        </w:numPr>
        <w:jc w:val="both"/>
        <w:rPr>
          <w:rFonts w:ascii="Arial" w:hAnsi="Arial" w:cs="Arial"/>
          <w:i/>
          <w:sz w:val="22"/>
          <w:szCs w:val="22"/>
        </w:rPr>
      </w:pPr>
      <w:r w:rsidRPr="005F1971">
        <w:rPr>
          <w:rFonts w:ascii="Arial" w:hAnsi="Arial" w:cs="Arial"/>
          <w:i/>
          <w:sz w:val="22"/>
          <w:szCs w:val="22"/>
        </w:rPr>
        <w:t xml:space="preserve">failure to comply with cash threshold reporting requirements in terms of section 28 of the FIC Act; </w:t>
      </w:r>
    </w:p>
    <w:p w:rsidR="005F1971" w:rsidRDefault="005F1971" w:rsidP="005F1971">
      <w:pPr>
        <w:pStyle w:val="Default"/>
        <w:ind w:left="720"/>
        <w:jc w:val="both"/>
        <w:rPr>
          <w:rFonts w:ascii="Arial" w:hAnsi="Arial" w:cs="Arial"/>
          <w:i/>
          <w:sz w:val="22"/>
          <w:szCs w:val="22"/>
        </w:rPr>
      </w:pPr>
    </w:p>
    <w:p w:rsidR="000A4421" w:rsidRPr="005F1971" w:rsidRDefault="000A4421" w:rsidP="005F1971">
      <w:pPr>
        <w:pStyle w:val="Default"/>
        <w:numPr>
          <w:ilvl w:val="0"/>
          <w:numId w:val="36"/>
        </w:numPr>
        <w:jc w:val="both"/>
        <w:rPr>
          <w:rFonts w:ascii="Arial" w:hAnsi="Arial" w:cs="Arial"/>
          <w:i/>
          <w:sz w:val="22"/>
          <w:szCs w:val="22"/>
        </w:rPr>
      </w:pPr>
      <w:r w:rsidRPr="005F1971">
        <w:rPr>
          <w:rFonts w:ascii="Arial" w:hAnsi="Arial" w:cs="Arial"/>
          <w:i/>
          <w:sz w:val="22"/>
          <w:szCs w:val="22"/>
        </w:rPr>
        <w:t xml:space="preserve">failure to formulate and implement adequate processes and working methods to detect and report property associated with terrorist and related activities in terms of section 28A of the FIC Act. </w:t>
      </w:r>
    </w:p>
    <w:p w:rsidR="005F1971" w:rsidRDefault="005F1971" w:rsidP="005F1971">
      <w:pPr>
        <w:pStyle w:val="Default"/>
        <w:ind w:left="720"/>
        <w:jc w:val="both"/>
        <w:rPr>
          <w:rFonts w:ascii="Arial" w:hAnsi="Arial" w:cs="Arial"/>
          <w:i/>
          <w:sz w:val="22"/>
          <w:szCs w:val="22"/>
        </w:rPr>
      </w:pPr>
    </w:p>
    <w:p w:rsidR="000A4421" w:rsidRPr="005F1971" w:rsidRDefault="000A4421" w:rsidP="005F1971">
      <w:pPr>
        <w:pStyle w:val="Default"/>
        <w:numPr>
          <w:ilvl w:val="0"/>
          <w:numId w:val="36"/>
        </w:numPr>
        <w:jc w:val="both"/>
        <w:rPr>
          <w:rFonts w:ascii="Arial" w:hAnsi="Arial" w:cs="Arial"/>
          <w:i/>
          <w:sz w:val="22"/>
          <w:szCs w:val="22"/>
        </w:rPr>
      </w:pPr>
      <w:r w:rsidRPr="005F1971">
        <w:rPr>
          <w:rFonts w:ascii="Arial" w:hAnsi="Arial" w:cs="Arial"/>
          <w:i/>
          <w:sz w:val="22"/>
          <w:szCs w:val="22"/>
        </w:rPr>
        <w:t xml:space="preserve">failure to formulate and implement adequate processes and working methods which would enable VBS to detect and report suspicious and unusual transactions in terms of section 29 of the FIC Act. </w:t>
      </w:r>
    </w:p>
    <w:p w:rsidR="000A4421" w:rsidRPr="005F1971" w:rsidRDefault="000A4421" w:rsidP="005F1971">
      <w:pPr>
        <w:jc w:val="both"/>
        <w:rPr>
          <w:rFonts w:ascii="Arial" w:hAnsi="Arial" w:cs="Arial"/>
          <w:i/>
          <w:color w:val="000000"/>
          <w:sz w:val="22"/>
          <w:szCs w:val="22"/>
        </w:rPr>
      </w:pPr>
    </w:p>
    <w:p w:rsidR="000A4421" w:rsidRPr="005F1971" w:rsidRDefault="000A4421" w:rsidP="005F1971">
      <w:pPr>
        <w:ind w:left="720"/>
        <w:jc w:val="both"/>
        <w:rPr>
          <w:rFonts w:ascii="Arial" w:hAnsi="Arial" w:cs="Arial"/>
          <w:i/>
          <w:color w:val="000000"/>
          <w:sz w:val="22"/>
          <w:szCs w:val="22"/>
        </w:rPr>
      </w:pPr>
      <w:r w:rsidRPr="005F1971">
        <w:rPr>
          <w:rFonts w:ascii="Arial" w:hAnsi="Arial" w:cs="Arial"/>
          <w:i/>
          <w:color w:val="000000"/>
          <w:sz w:val="22"/>
          <w:szCs w:val="22"/>
        </w:rPr>
        <w:t>However, R2 million of the financial penalty is suspended, in terms of section 45C(4)(c) of the FIC Act, for a period of one (1) year from 7 June 2017, subject to VBS adhering to certain conditions imposed by the SARB.”</w:t>
      </w:r>
    </w:p>
    <w:p w:rsidR="000A4421" w:rsidRPr="005F1971" w:rsidRDefault="000A4421" w:rsidP="005F1971">
      <w:pPr>
        <w:jc w:val="both"/>
        <w:rPr>
          <w:rFonts w:ascii="Arial" w:hAnsi="Arial" w:cs="Arial"/>
          <w:color w:val="000000"/>
          <w:sz w:val="22"/>
          <w:szCs w:val="22"/>
        </w:rPr>
      </w:pPr>
    </w:p>
    <w:p w:rsidR="004F22F5" w:rsidRPr="005F1971" w:rsidRDefault="000A4421" w:rsidP="005F1971">
      <w:pPr>
        <w:ind w:left="720"/>
        <w:jc w:val="both"/>
        <w:rPr>
          <w:rFonts w:ascii="Arial" w:hAnsi="Arial" w:cs="Arial"/>
          <w:color w:val="000000"/>
          <w:sz w:val="22"/>
          <w:szCs w:val="22"/>
        </w:rPr>
      </w:pPr>
      <w:r w:rsidRPr="005F1971">
        <w:rPr>
          <w:rFonts w:ascii="Arial" w:eastAsia="Calibri" w:hAnsi="Arial" w:cs="Arial"/>
          <w:color w:val="000000"/>
          <w:sz w:val="22"/>
          <w:szCs w:val="22"/>
          <w:lang w:val="en-GB" w:eastAsia="en-ZA"/>
        </w:rPr>
        <w:t>VBS w</w:t>
      </w:r>
      <w:r w:rsidR="00D42526" w:rsidRPr="005F1971">
        <w:rPr>
          <w:rFonts w:ascii="Arial" w:eastAsia="Calibri" w:hAnsi="Arial" w:cs="Arial"/>
          <w:color w:val="000000"/>
          <w:sz w:val="22"/>
          <w:szCs w:val="22"/>
          <w:lang w:val="en-GB" w:eastAsia="en-ZA"/>
        </w:rPr>
        <w:t>as</w:t>
      </w:r>
      <w:r w:rsidRPr="005F1971">
        <w:rPr>
          <w:rFonts w:ascii="Arial" w:eastAsia="Calibri" w:hAnsi="Arial" w:cs="Arial"/>
          <w:color w:val="000000"/>
          <w:sz w:val="22"/>
          <w:szCs w:val="22"/>
          <w:lang w:val="en-GB" w:eastAsia="en-ZA"/>
        </w:rPr>
        <w:t xml:space="preserve"> directed to </w:t>
      </w:r>
      <w:r w:rsidR="009B5BC5" w:rsidRPr="005F1971">
        <w:rPr>
          <w:rFonts w:ascii="Arial" w:eastAsia="Calibri" w:hAnsi="Arial" w:cs="Arial"/>
          <w:color w:val="000000"/>
          <w:sz w:val="22"/>
          <w:szCs w:val="22"/>
          <w:lang w:val="en-GB" w:eastAsia="en-ZA"/>
        </w:rPr>
        <w:t>implement several</w:t>
      </w:r>
      <w:r w:rsidRPr="005F1971">
        <w:rPr>
          <w:rFonts w:ascii="Arial" w:eastAsia="Calibri" w:hAnsi="Arial" w:cs="Arial"/>
          <w:color w:val="000000"/>
          <w:sz w:val="22"/>
          <w:szCs w:val="22"/>
          <w:lang w:val="en-GB" w:eastAsia="en-ZA"/>
        </w:rPr>
        <w:t xml:space="preserve"> remedial </w:t>
      </w:r>
      <w:r w:rsidR="009B5BC5" w:rsidRPr="005F1971">
        <w:rPr>
          <w:rFonts w:ascii="Arial" w:eastAsia="Calibri" w:hAnsi="Arial" w:cs="Arial"/>
          <w:color w:val="000000"/>
          <w:sz w:val="22"/>
          <w:szCs w:val="22"/>
          <w:lang w:val="en-GB" w:eastAsia="en-ZA"/>
        </w:rPr>
        <w:t xml:space="preserve">measures </w:t>
      </w:r>
      <w:r w:rsidRPr="005F1971">
        <w:rPr>
          <w:rFonts w:ascii="Arial" w:eastAsia="Calibri" w:hAnsi="Arial" w:cs="Arial"/>
          <w:color w:val="000000"/>
          <w:sz w:val="22"/>
          <w:szCs w:val="22"/>
          <w:lang w:val="en-GB" w:eastAsia="en-ZA"/>
        </w:rPr>
        <w:t xml:space="preserve">to rectify the </w:t>
      </w:r>
      <w:r w:rsidR="009B5BC5" w:rsidRPr="005F1971">
        <w:rPr>
          <w:rFonts w:ascii="Arial" w:eastAsia="Calibri" w:hAnsi="Arial" w:cs="Arial"/>
          <w:color w:val="000000"/>
          <w:sz w:val="22"/>
          <w:szCs w:val="22"/>
          <w:lang w:val="en-GB" w:eastAsia="en-ZA"/>
        </w:rPr>
        <w:t xml:space="preserve">identified areas of </w:t>
      </w:r>
      <w:r w:rsidRPr="005F1971">
        <w:rPr>
          <w:rFonts w:ascii="Arial" w:eastAsia="Calibri" w:hAnsi="Arial" w:cs="Arial"/>
          <w:color w:val="000000"/>
          <w:sz w:val="22"/>
          <w:szCs w:val="22"/>
          <w:lang w:val="en-GB" w:eastAsia="en-ZA"/>
        </w:rPr>
        <w:t>non-compliance by no later than 31 December 2017.</w:t>
      </w:r>
      <w:r w:rsidR="005F1971">
        <w:rPr>
          <w:rFonts w:ascii="Arial" w:eastAsia="Calibri" w:hAnsi="Arial" w:cs="Arial"/>
          <w:color w:val="000000"/>
          <w:sz w:val="22"/>
          <w:szCs w:val="22"/>
          <w:lang w:val="en-GB" w:eastAsia="en-ZA"/>
        </w:rPr>
        <w:t xml:space="preserve">  </w:t>
      </w:r>
      <w:r w:rsidR="009B5BC5" w:rsidRPr="005F1971">
        <w:rPr>
          <w:rFonts w:ascii="Arial" w:eastAsia="Calibri" w:hAnsi="Arial" w:cs="Arial"/>
          <w:color w:val="000000"/>
          <w:sz w:val="22"/>
          <w:szCs w:val="22"/>
          <w:lang w:val="en-GB" w:eastAsia="en-ZA"/>
        </w:rPr>
        <w:t>VBS subsequently submitted a request to extend the aforementioned implementation date until 31 December 2019.</w:t>
      </w:r>
      <w:r w:rsidR="005F1971">
        <w:rPr>
          <w:rFonts w:ascii="Arial" w:eastAsia="Calibri" w:hAnsi="Arial" w:cs="Arial"/>
          <w:color w:val="000000"/>
          <w:sz w:val="22"/>
          <w:szCs w:val="22"/>
          <w:lang w:val="en-GB" w:eastAsia="en-ZA"/>
        </w:rPr>
        <w:t xml:space="preserve">  </w:t>
      </w:r>
      <w:r w:rsidR="009B5BC5" w:rsidRPr="005F1971">
        <w:rPr>
          <w:rFonts w:ascii="Arial" w:hAnsi="Arial" w:cs="Arial"/>
          <w:sz w:val="22"/>
          <w:szCs w:val="22"/>
        </w:rPr>
        <w:t xml:space="preserve">However, after </w:t>
      </w:r>
      <w:r w:rsidR="006E2AC0" w:rsidRPr="005F1971">
        <w:rPr>
          <w:rFonts w:ascii="Arial" w:hAnsi="Arial" w:cs="Arial"/>
          <w:sz w:val="22"/>
          <w:szCs w:val="22"/>
        </w:rPr>
        <w:t xml:space="preserve">having </w:t>
      </w:r>
      <w:r w:rsidR="009B5BC5" w:rsidRPr="005F1971">
        <w:rPr>
          <w:rFonts w:ascii="Arial" w:hAnsi="Arial" w:cs="Arial"/>
          <w:sz w:val="22"/>
          <w:szCs w:val="22"/>
        </w:rPr>
        <w:t>duly considering the request for an extension received from VBS,</w:t>
      </w:r>
      <w:r w:rsidR="009B5BC5" w:rsidRPr="005F1971">
        <w:rPr>
          <w:rFonts w:ascii="Arial" w:eastAsia="Calibri" w:hAnsi="Arial" w:cs="Arial"/>
          <w:color w:val="000000"/>
          <w:sz w:val="22"/>
          <w:szCs w:val="22"/>
          <w:lang w:val="en-GB" w:eastAsia="en-ZA"/>
        </w:rPr>
        <w:t xml:space="preserve"> the SARB granted an extension in the implementation date until 31 December 2018. </w:t>
      </w:r>
    </w:p>
    <w:p w:rsidR="006E510D" w:rsidRPr="005F1971" w:rsidRDefault="006E510D" w:rsidP="005F1971">
      <w:pPr>
        <w:pBdr>
          <w:top w:val="nil"/>
          <w:left w:val="nil"/>
          <w:bottom w:val="nil"/>
          <w:right w:val="nil"/>
          <w:between w:val="nil"/>
        </w:pBdr>
        <w:jc w:val="both"/>
        <w:rPr>
          <w:rFonts w:ascii="Arial" w:hAnsi="Arial" w:cs="Arial"/>
          <w:sz w:val="22"/>
          <w:szCs w:val="22"/>
        </w:rPr>
      </w:pPr>
    </w:p>
    <w:p w:rsidR="007663AF" w:rsidRPr="005F1971" w:rsidRDefault="00061F3E" w:rsidP="005F1971">
      <w:pPr>
        <w:pStyle w:val="ListParagraph"/>
        <w:numPr>
          <w:ilvl w:val="0"/>
          <w:numId w:val="38"/>
        </w:numPr>
        <w:pBdr>
          <w:top w:val="nil"/>
          <w:left w:val="nil"/>
          <w:bottom w:val="nil"/>
          <w:right w:val="nil"/>
          <w:between w:val="nil"/>
        </w:pBdr>
        <w:jc w:val="both"/>
        <w:rPr>
          <w:rFonts w:ascii="Arial" w:hAnsi="Arial" w:cs="Arial"/>
          <w:sz w:val="22"/>
          <w:szCs w:val="22"/>
          <w:u w:val="single"/>
        </w:rPr>
      </w:pPr>
      <w:r w:rsidRPr="005F1971">
        <w:rPr>
          <w:rFonts w:ascii="Arial" w:hAnsi="Arial" w:cs="Arial"/>
          <w:sz w:val="22"/>
          <w:szCs w:val="22"/>
        </w:rPr>
        <w:t>The inspection report contained timelines for the remediation of all FIC Act non-compliance matters</w:t>
      </w:r>
      <w:r w:rsidR="006E2AC0" w:rsidRPr="005F1971">
        <w:rPr>
          <w:rFonts w:ascii="Arial" w:hAnsi="Arial" w:cs="Arial"/>
          <w:sz w:val="22"/>
          <w:szCs w:val="22"/>
        </w:rPr>
        <w:t xml:space="preserve"> which had been identified during the inspection</w:t>
      </w:r>
      <w:r w:rsidRPr="005F1971">
        <w:rPr>
          <w:rFonts w:ascii="Arial" w:hAnsi="Arial" w:cs="Arial"/>
          <w:sz w:val="22"/>
          <w:szCs w:val="22"/>
        </w:rPr>
        <w:t>.</w:t>
      </w:r>
      <w:r w:rsidR="005F1971">
        <w:rPr>
          <w:rFonts w:ascii="Arial" w:hAnsi="Arial" w:cs="Arial"/>
          <w:sz w:val="22"/>
          <w:szCs w:val="22"/>
        </w:rPr>
        <w:t xml:space="preserve">  </w:t>
      </w:r>
      <w:r w:rsidRPr="005F1971">
        <w:rPr>
          <w:rFonts w:ascii="Arial" w:eastAsia="Calibri" w:hAnsi="Arial" w:cs="Arial"/>
          <w:color w:val="000000"/>
          <w:sz w:val="22"/>
          <w:szCs w:val="22"/>
          <w:lang w:val="en-GB" w:eastAsia="en-ZA"/>
        </w:rPr>
        <w:t xml:space="preserve">VBS was directed to </w:t>
      </w:r>
      <w:r w:rsidR="006E2AC0" w:rsidRPr="005F1971">
        <w:rPr>
          <w:rFonts w:ascii="Arial" w:eastAsia="Calibri" w:hAnsi="Arial" w:cs="Arial"/>
          <w:color w:val="000000"/>
          <w:sz w:val="22"/>
          <w:szCs w:val="22"/>
          <w:lang w:val="en-GB" w:eastAsia="en-ZA"/>
        </w:rPr>
        <w:t xml:space="preserve">implement the appropriate </w:t>
      </w:r>
      <w:r w:rsidRPr="005F1971">
        <w:rPr>
          <w:rFonts w:ascii="Arial" w:eastAsia="Calibri" w:hAnsi="Arial" w:cs="Arial"/>
          <w:color w:val="000000"/>
          <w:sz w:val="22"/>
          <w:szCs w:val="22"/>
          <w:lang w:val="en-GB" w:eastAsia="en-ZA"/>
        </w:rPr>
        <w:t xml:space="preserve">remedial </w:t>
      </w:r>
      <w:r w:rsidR="006E2AC0" w:rsidRPr="005F1971">
        <w:rPr>
          <w:rFonts w:ascii="Arial" w:eastAsia="Calibri" w:hAnsi="Arial" w:cs="Arial"/>
          <w:color w:val="000000"/>
          <w:sz w:val="22"/>
          <w:szCs w:val="22"/>
          <w:lang w:val="en-GB" w:eastAsia="en-ZA"/>
        </w:rPr>
        <w:t xml:space="preserve">measures </w:t>
      </w:r>
      <w:r w:rsidRPr="005F1971">
        <w:rPr>
          <w:rFonts w:ascii="Arial" w:eastAsia="Calibri" w:hAnsi="Arial" w:cs="Arial"/>
          <w:color w:val="000000"/>
          <w:sz w:val="22"/>
          <w:szCs w:val="22"/>
          <w:lang w:val="en-GB" w:eastAsia="en-ZA"/>
        </w:rPr>
        <w:t>to rectify AML/CFT non-compliance by no later than 31 December 2017</w:t>
      </w:r>
      <w:r w:rsidR="006E2AC0" w:rsidRPr="005F1971">
        <w:rPr>
          <w:rFonts w:ascii="Arial" w:eastAsia="Calibri" w:hAnsi="Arial" w:cs="Arial"/>
          <w:color w:val="000000"/>
          <w:sz w:val="22"/>
          <w:szCs w:val="22"/>
          <w:lang w:val="en-GB" w:eastAsia="en-ZA"/>
        </w:rPr>
        <w:t xml:space="preserve"> (subsequently extended until 31 December 2018 as detailed in the response to question 1)</w:t>
      </w:r>
      <w:r w:rsidRPr="005F1971">
        <w:rPr>
          <w:rFonts w:ascii="Arial" w:eastAsia="Calibri" w:hAnsi="Arial" w:cs="Arial"/>
          <w:color w:val="000000"/>
          <w:sz w:val="22"/>
          <w:szCs w:val="22"/>
          <w:lang w:val="en-GB" w:eastAsia="en-ZA"/>
        </w:rPr>
        <w:t xml:space="preserve">. </w:t>
      </w:r>
    </w:p>
    <w:p w:rsidR="009675D8" w:rsidRPr="005F1971" w:rsidRDefault="009675D8" w:rsidP="005F1971">
      <w:pPr>
        <w:pBdr>
          <w:top w:val="nil"/>
          <w:left w:val="nil"/>
          <w:bottom w:val="nil"/>
          <w:right w:val="nil"/>
          <w:between w:val="nil"/>
        </w:pBdr>
        <w:jc w:val="both"/>
        <w:rPr>
          <w:rFonts w:ascii="Arial" w:hAnsi="Arial" w:cs="Arial"/>
          <w:sz w:val="22"/>
          <w:szCs w:val="22"/>
        </w:rPr>
      </w:pPr>
    </w:p>
    <w:p w:rsidR="009E5564" w:rsidRPr="005F1971" w:rsidRDefault="009E5564" w:rsidP="005F1971">
      <w:pPr>
        <w:pStyle w:val="ListParagraph"/>
        <w:numPr>
          <w:ilvl w:val="0"/>
          <w:numId w:val="38"/>
        </w:numPr>
        <w:pBdr>
          <w:top w:val="nil"/>
          <w:left w:val="nil"/>
          <w:bottom w:val="nil"/>
          <w:right w:val="nil"/>
          <w:between w:val="nil"/>
        </w:pBdr>
        <w:jc w:val="both"/>
        <w:rPr>
          <w:rFonts w:ascii="Arial" w:hAnsi="Arial" w:cs="Arial"/>
          <w:sz w:val="22"/>
          <w:szCs w:val="22"/>
          <w:u w:val="single"/>
        </w:rPr>
      </w:pPr>
      <w:r w:rsidRPr="005F1971">
        <w:rPr>
          <w:rFonts w:ascii="Arial" w:hAnsi="Arial" w:cs="Arial"/>
          <w:sz w:val="22"/>
          <w:szCs w:val="22"/>
        </w:rPr>
        <w:t>VBS was required to provide the SARB with the quarterly update reports on the progress made with the implementation of the specified remedial measures.</w:t>
      </w:r>
      <w:r w:rsidR="005F1971">
        <w:rPr>
          <w:rFonts w:ascii="Arial" w:hAnsi="Arial" w:cs="Arial"/>
          <w:sz w:val="22"/>
          <w:szCs w:val="22"/>
        </w:rPr>
        <w:t xml:space="preserve">  </w:t>
      </w:r>
      <w:r w:rsidRPr="005F1971">
        <w:rPr>
          <w:rFonts w:ascii="Arial" w:hAnsi="Arial" w:cs="Arial"/>
          <w:sz w:val="22"/>
          <w:szCs w:val="22"/>
        </w:rPr>
        <w:t>VBS submitted progress reports dated 31 March 2017, 20 November 2017 and 31 January 2018.</w:t>
      </w:r>
      <w:r w:rsidR="005F1971">
        <w:rPr>
          <w:rFonts w:ascii="Arial" w:hAnsi="Arial" w:cs="Arial"/>
          <w:sz w:val="22"/>
          <w:szCs w:val="22"/>
        </w:rPr>
        <w:t xml:space="preserve">  T</w:t>
      </w:r>
      <w:r w:rsidRPr="005F1971">
        <w:rPr>
          <w:rFonts w:ascii="Arial" w:hAnsi="Arial" w:cs="Arial"/>
          <w:sz w:val="22"/>
          <w:szCs w:val="22"/>
        </w:rPr>
        <w:t xml:space="preserve">he SARB reviewed the aforementioned reports and provided VBS with feedback where necessary. </w:t>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3BE"/>
    <w:multiLevelType w:val="hybridMultilevel"/>
    <w:tmpl w:val="53624B02"/>
    <w:lvl w:ilvl="0" w:tplc="53D0DBF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820720"/>
    <w:multiLevelType w:val="hybridMultilevel"/>
    <w:tmpl w:val="6C9C273E"/>
    <w:lvl w:ilvl="0" w:tplc="9E140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C34B1"/>
    <w:multiLevelType w:val="hybridMultilevel"/>
    <w:tmpl w:val="24B80156"/>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FDF18B8"/>
    <w:multiLevelType w:val="hybridMultilevel"/>
    <w:tmpl w:val="0BDE8980"/>
    <w:lvl w:ilvl="0" w:tplc="04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287432"/>
    <w:multiLevelType w:val="multilevel"/>
    <w:tmpl w:val="9EC2204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15F34BDF"/>
    <w:multiLevelType w:val="hybridMultilevel"/>
    <w:tmpl w:val="DD4AFB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AD34D0"/>
    <w:multiLevelType w:val="hybridMultilevel"/>
    <w:tmpl w:val="A74EF2B6"/>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1A9D4034"/>
    <w:multiLevelType w:val="hybridMultilevel"/>
    <w:tmpl w:val="A0D81078"/>
    <w:lvl w:ilvl="0" w:tplc="46D2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5169"/>
    <w:multiLevelType w:val="hybridMultilevel"/>
    <w:tmpl w:val="2E9EEA2A"/>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1D8406D2"/>
    <w:multiLevelType w:val="hybridMultilevel"/>
    <w:tmpl w:val="A878B0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DD6A15"/>
    <w:multiLevelType w:val="hybridMultilevel"/>
    <w:tmpl w:val="BB7889B0"/>
    <w:lvl w:ilvl="0" w:tplc="A1E43A2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0D2071"/>
    <w:multiLevelType w:val="hybridMultilevel"/>
    <w:tmpl w:val="9A182C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293F4C"/>
    <w:multiLevelType w:val="hybridMultilevel"/>
    <w:tmpl w:val="B0A42350"/>
    <w:lvl w:ilvl="0" w:tplc="A202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B0121"/>
    <w:multiLevelType w:val="hybridMultilevel"/>
    <w:tmpl w:val="DD185B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D7741C"/>
    <w:multiLevelType w:val="hybridMultilevel"/>
    <w:tmpl w:val="2F7CF2AC"/>
    <w:lvl w:ilvl="0" w:tplc="D4BCA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91C9B"/>
    <w:multiLevelType w:val="hybridMultilevel"/>
    <w:tmpl w:val="452E5648"/>
    <w:lvl w:ilvl="0" w:tplc="39F2847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69C6BEB"/>
    <w:multiLevelType w:val="hybridMultilevel"/>
    <w:tmpl w:val="B074CBAA"/>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nsid w:val="29E0314A"/>
    <w:multiLevelType w:val="hybridMultilevel"/>
    <w:tmpl w:val="42424474"/>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2D4F7858"/>
    <w:multiLevelType w:val="hybridMultilevel"/>
    <w:tmpl w:val="2AE03B82"/>
    <w:lvl w:ilvl="0" w:tplc="ADA4D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9456F4"/>
    <w:multiLevelType w:val="hybridMultilevel"/>
    <w:tmpl w:val="2E9EEA2A"/>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36C739AA"/>
    <w:multiLevelType w:val="hybridMultilevel"/>
    <w:tmpl w:val="1ABE4D98"/>
    <w:lvl w:ilvl="0" w:tplc="04090019">
      <w:start w:val="1"/>
      <w:numFmt w:val="lowerLetter"/>
      <w:lvlText w:val="%1."/>
      <w:lvlJc w:val="left"/>
      <w:pPr>
        <w:ind w:left="1636" w:hanging="360"/>
      </w:p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nsid w:val="4485668F"/>
    <w:multiLevelType w:val="hybridMultilevel"/>
    <w:tmpl w:val="7890B89C"/>
    <w:lvl w:ilvl="0" w:tplc="04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4FB19E8"/>
    <w:multiLevelType w:val="hybridMultilevel"/>
    <w:tmpl w:val="25F469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51733E5"/>
    <w:multiLevelType w:val="hybridMultilevel"/>
    <w:tmpl w:val="82B4D098"/>
    <w:lvl w:ilvl="0" w:tplc="04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6014C87"/>
    <w:multiLevelType w:val="hybridMultilevel"/>
    <w:tmpl w:val="7458B712"/>
    <w:lvl w:ilvl="0" w:tplc="E1A2C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690B4A"/>
    <w:multiLevelType w:val="hybridMultilevel"/>
    <w:tmpl w:val="80B41DBC"/>
    <w:lvl w:ilvl="0" w:tplc="ADA4D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82D27"/>
    <w:multiLevelType w:val="hybridMultilevel"/>
    <w:tmpl w:val="C75CAAF2"/>
    <w:lvl w:ilvl="0" w:tplc="04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585873F8"/>
    <w:multiLevelType w:val="hybridMultilevel"/>
    <w:tmpl w:val="5FA4B134"/>
    <w:lvl w:ilvl="0" w:tplc="39F2847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C857D2"/>
    <w:multiLevelType w:val="hybridMultilevel"/>
    <w:tmpl w:val="DA78BDD0"/>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2791779"/>
    <w:multiLevelType w:val="hybridMultilevel"/>
    <w:tmpl w:val="6D8CF08A"/>
    <w:lvl w:ilvl="0" w:tplc="1C09001B">
      <w:start w:val="1"/>
      <w:numFmt w:val="lowerRoman"/>
      <w:lvlText w:val="%1."/>
      <w:lvlJc w:val="right"/>
      <w:pPr>
        <w:ind w:left="2580" w:hanging="360"/>
      </w:pPr>
    </w:lvl>
    <w:lvl w:ilvl="1" w:tplc="1C090019" w:tentative="1">
      <w:start w:val="1"/>
      <w:numFmt w:val="lowerLetter"/>
      <w:lvlText w:val="%2."/>
      <w:lvlJc w:val="left"/>
      <w:pPr>
        <w:ind w:left="3300" w:hanging="360"/>
      </w:pPr>
    </w:lvl>
    <w:lvl w:ilvl="2" w:tplc="1C09001B" w:tentative="1">
      <w:start w:val="1"/>
      <w:numFmt w:val="lowerRoman"/>
      <w:lvlText w:val="%3."/>
      <w:lvlJc w:val="right"/>
      <w:pPr>
        <w:ind w:left="4020" w:hanging="180"/>
      </w:pPr>
    </w:lvl>
    <w:lvl w:ilvl="3" w:tplc="1C09000F" w:tentative="1">
      <w:start w:val="1"/>
      <w:numFmt w:val="decimal"/>
      <w:lvlText w:val="%4."/>
      <w:lvlJc w:val="left"/>
      <w:pPr>
        <w:ind w:left="4740" w:hanging="360"/>
      </w:pPr>
    </w:lvl>
    <w:lvl w:ilvl="4" w:tplc="1C090019" w:tentative="1">
      <w:start w:val="1"/>
      <w:numFmt w:val="lowerLetter"/>
      <w:lvlText w:val="%5."/>
      <w:lvlJc w:val="left"/>
      <w:pPr>
        <w:ind w:left="5460" w:hanging="360"/>
      </w:pPr>
    </w:lvl>
    <w:lvl w:ilvl="5" w:tplc="1C09001B" w:tentative="1">
      <w:start w:val="1"/>
      <w:numFmt w:val="lowerRoman"/>
      <w:lvlText w:val="%6."/>
      <w:lvlJc w:val="right"/>
      <w:pPr>
        <w:ind w:left="6180" w:hanging="180"/>
      </w:pPr>
    </w:lvl>
    <w:lvl w:ilvl="6" w:tplc="1C09000F" w:tentative="1">
      <w:start w:val="1"/>
      <w:numFmt w:val="decimal"/>
      <w:lvlText w:val="%7."/>
      <w:lvlJc w:val="left"/>
      <w:pPr>
        <w:ind w:left="6900" w:hanging="360"/>
      </w:pPr>
    </w:lvl>
    <w:lvl w:ilvl="7" w:tplc="1C090019" w:tentative="1">
      <w:start w:val="1"/>
      <w:numFmt w:val="lowerLetter"/>
      <w:lvlText w:val="%8."/>
      <w:lvlJc w:val="left"/>
      <w:pPr>
        <w:ind w:left="7620" w:hanging="360"/>
      </w:pPr>
    </w:lvl>
    <w:lvl w:ilvl="8" w:tplc="1C09001B" w:tentative="1">
      <w:start w:val="1"/>
      <w:numFmt w:val="lowerRoman"/>
      <w:lvlText w:val="%9."/>
      <w:lvlJc w:val="right"/>
      <w:pPr>
        <w:ind w:left="8340" w:hanging="180"/>
      </w:pPr>
    </w:lvl>
  </w:abstractNum>
  <w:abstractNum w:abstractNumId="31">
    <w:nsid w:val="63921C04"/>
    <w:multiLevelType w:val="hybridMultilevel"/>
    <w:tmpl w:val="8736BF94"/>
    <w:lvl w:ilvl="0" w:tplc="39F2847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0770B"/>
    <w:multiLevelType w:val="hybridMultilevel"/>
    <w:tmpl w:val="2E9EEA2A"/>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6D12240C"/>
    <w:multiLevelType w:val="hybridMultilevel"/>
    <w:tmpl w:val="C75CAAF2"/>
    <w:lvl w:ilvl="0" w:tplc="04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F846E16"/>
    <w:multiLevelType w:val="hybridMultilevel"/>
    <w:tmpl w:val="24B80156"/>
    <w:lvl w:ilvl="0" w:tplc="39F28478">
      <w:start w:val="1"/>
      <w:numFmt w:val="lowerRoman"/>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7E1A0821"/>
    <w:multiLevelType w:val="hybridMultilevel"/>
    <w:tmpl w:val="FCBEAFB8"/>
    <w:lvl w:ilvl="0" w:tplc="39F2847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2"/>
  </w:num>
  <w:num w:numId="2">
    <w:abstractNumId w:val="33"/>
  </w:num>
  <w:num w:numId="3">
    <w:abstractNumId w:val="26"/>
  </w:num>
  <w:num w:numId="4">
    <w:abstractNumId w:val="10"/>
  </w:num>
  <w:num w:numId="5">
    <w:abstractNumId w:val="21"/>
  </w:num>
  <w:num w:numId="6">
    <w:abstractNumId w:val="30"/>
  </w:num>
  <w:num w:numId="7">
    <w:abstractNumId w:val="36"/>
  </w:num>
  <w:num w:numId="8">
    <w:abstractNumId w:val="23"/>
  </w:num>
  <w:num w:numId="9">
    <w:abstractNumId w:val="16"/>
  </w:num>
  <w:num w:numId="10">
    <w:abstractNumId w:val="19"/>
  </w:num>
  <w:num w:numId="11">
    <w:abstractNumId w:val="35"/>
  </w:num>
  <w:num w:numId="12">
    <w:abstractNumId w:val="17"/>
  </w:num>
  <w:num w:numId="13">
    <w:abstractNumId w:val="27"/>
  </w:num>
  <w:num w:numId="14">
    <w:abstractNumId w:val="20"/>
  </w:num>
  <w:num w:numId="15">
    <w:abstractNumId w:val="6"/>
  </w:num>
  <w:num w:numId="16">
    <w:abstractNumId w:val="8"/>
  </w:num>
  <w:num w:numId="17">
    <w:abstractNumId w:val="34"/>
  </w:num>
  <w:num w:numId="18">
    <w:abstractNumId w:val="37"/>
  </w:num>
  <w:num w:numId="19">
    <w:abstractNumId w:val="31"/>
  </w:num>
  <w:num w:numId="20">
    <w:abstractNumId w:val="15"/>
  </w:num>
  <w:num w:numId="21">
    <w:abstractNumId w:val="28"/>
  </w:num>
  <w:num w:numId="22">
    <w:abstractNumId w:val="25"/>
  </w:num>
  <w:num w:numId="23">
    <w:abstractNumId w:val="29"/>
  </w:num>
  <w:num w:numId="24">
    <w:abstractNumId w:val="4"/>
  </w:num>
  <w:num w:numId="25">
    <w:abstractNumId w:val="2"/>
  </w:num>
  <w:num w:numId="26">
    <w:abstractNumId w:val="18"/>
  </w:num>
  <w:num w:numId="27">
    <w:abstractNumId w:val="0"/>
  </w:num>
  <w:num w:numId="28">
    <w:abstractNumId w:val="22"/>
  </w:num>
  <w:num w:numId="29">
    <w:abstractNumId w:val="5"/>
  </w:num>
  <w:num w:numId="30">
    <w:abstractNumId w:val="9"/>
  </w:num>
  <w:num w:numId="31">
    <w:abstractNumId w:val="11"/>
  </w:num>
  <w:num w:numId="32">
    <w:abstractNumId w:val="13"/>
  </w:num>
  <w:num w:numId="33">
    <w:abstractNumId w:val="12"/>
  </w:num>
  <w:num w:numId="34">
    <w:abstractNumId w:val="7"/>
  </w:num>
  <w:num w:numId="35">
    <w:abstractNumId w:val="1"/>
  </w:num>
  <w:num w:numId="36">
    <w:abstractNumId w:val="3"/>
  </w:num>
  <w:num w:numId="37">
    <w:abstractNumId w:val="14"/>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attachedTemplate r:id="rId1"/>
  <w:stylePaneFormatFilter w:val="3F01"/>
  <w:defaultTabStop w:val="720"/>
  <w:characterSpacingControl w:val="doNotCompress"/>
  <w:compat/>
  <w:rsids>
    <w:rsidRoot w:val="00063E28"/>
    <w:rsid w:val="000054AE"/>
    <w:rsid w:val="00007859"/>
    <w:rsid w:val="00011016"/>
    <w:rsid w:val="00016A41"/>
    <w:rsid w:val="00020C04"/>
    <w:rsid w:val="00023BC3"/>
    <w:rsid w:val="00036E72"/>
    <w:rsid w:val="00037754"/>
    <w:rsid w:val="00042E4A"/>
    <w:rsid w:val="00043A6A"/>
    <w:rsid w:val="00061F3E"/>
    <w:rsid w:val="00063E28"/>
    <w:rsid w:val="00094944"/>
    <w:rsid w:val="000A4421"/>
    <w:rsid w:val="000B5D30"/>
    <w:rsid w:val="000C2BDC"/>
    <w:rsid w:val="000C2BEF"/>
    <w:rsid w:val="000C48D8"/>
    <w:rsid w:val="000E1B36"/>
    <w:rsid w:val="000E3F12"/>
    <w:rsid w:val="000F3B14"/>
    <w:rsid w:val="001026A0"/>
    <w:rsid w:val="0010677B"/>
    <w:rsid w:val="00125D1A"/>
    <w:rsid w:val="001336C4"/>
    <w:rsid w:val="00141ABC"/>
    <w:rsid w:val="001433AE"/>
    <w:rsid w:val="0014441E"/>
    <w:rsid w:val="0015727B"/>
    <w:rsid w:val="001717FB"/>
    <w:rsid w:val="00172DE9"/>
    <w:rsid w:val="00193F0D"/>
    <w:rsid w:val="00197576"/>
    <w:rsid w:val="001A2B81"/>
    <w:rsid w:val="001A58A9"/>
    <w:rsid w:val="001B0917"/>
    <w:rsid w:val="001D4937"/>
    <w:rsid w:val="001D540F"/>
    <w:rsid w:val="001E3FB5"/>
    <w:rsid w:val="001E6902"/>
    <w:rsid w:val="001F4B50"/>
    <w:rsid w:val="001F5474"/>
    <w:rsid w:val="00207912"/>
    <w:rsid w:val="0021793D"/>
    <w:rsid w:val="0022502D"/>
    <w:rsid w:val="00236A79"/>
    <w:rsid w:val="00236C35"/>
    <w:rsid w:val="002453AE"/>
    <w:rsid w:val="00252194"/>
    <w:rsid w:val="00256579"/>
    <w:rsid w:val="002835DD"/>
    <w:rsid w:val="002855CE"/>
    <w:rsid w:val="002867DD"/>
    <w:rsid w:val="002A4157"/>
    <w:rsid w:val="002D30B2"/>
    <w:rsid w:val="002E5CCB"/>
    <w:rsid w:val="002F6E86"/>
    <w:rsid w:val="002F7F1F"/>
    <w:rsid w:val="00304578"/>
    <w:rsid w:val="00307402"/>
    <w:rsid w:val="003421BD"/>
    <w:rsid w:val="00344553"/>
    <w:rsid w:val="00351BF5"/>
    <w:rsid w:val="0036109C"/>
    <w:rsid w:val="003743A4"/>
    <w:rsid w:val="00381484"/>
    <w:rsid w:val="0039439F"/>
    <w:rsid w:val="003A5379"/>
    <w:rsid w:val="003D4DBD"/>
    <w:rsid w:val="003F3C43"/>
    <w:rsid w:val="004042E1"/>
    <w:rsid w:val="00407A67"/>
    <w:rsid w:val="00421E4A"/>
    <w:rsid w:val="00425B80"/>
    <w:rsid w:val="0043065E"/>
    <w:rsid w:val="00455CE1"/>
    <w:rsid w:val="00464E2D"/>
    <w:rsid w:val="0047127F"/>
    <w:rsid w:val="00472D86"/>
    <w:rsid w:val="00485B2E"/>
    <w:rsid w:val="004A078E"/>
    <w:rsid w:val="004A6DA8"/>
    <w:rsid w:val="004A749F"/>
    <w:rsid w:val="004C0945"/>
    <w:rsid w:val="004C651A"/>
    <w:rsid w:val="004F0ED5"/>
    <w:rsid w:val="004F22F5"/>
    <w:rsid w:val="004F43FB"/>
    <w:rsid w:val="004F5BB5"/>
    <w:rsid w:val="00506AEA"/>
    <w:rsid w:val="00507B4A"/>
    <w:rsid w:val="00510028"/>
    <w:rsid w:val="005141B3"/>
    <w:rsid w:val="00520754"/>
    <w:rsid w:val="00532BB4"/>
    <w:rsid w:val="00533C35"/>
    <w:rsid w:val="0054052E"/>
    <w:rsid w:val="00550FA6"/>
    <w:rsid w:val="00552429"/>
    <w:rsid w:val="00565A2F"/>
    <w:rsid w:val="005664EF"/>
    <w:rsid w:val="005706F1"/>
    <w:rsid w:val="00574E19"/>
    <w:rsid w:val="0059067C"/>
    <w:rsid w:val="00595EBA"/>
    <w:rsid w:val="005A2394"/>
    <w:rsid w:val="005A25BC"/>
    <w:rsid w:val="005A4823"/>
    <w:rsid w:val="005B4386"/>
    <w:rsid w:val="005C1CC4"/>
    <w:rsid w:val="005D3014"/>
    <w:rsid w:val="005E568C"/>
    <w:rsid w:val="005F1971"/>
    <w:rsid w:val="00613FC6"/>
    <w:rsid w:val="00615DAE"/>
    <w:rsid w:val="00622949"/>
    <w:rsid w:val="006239F1"/>
    <w:rsid w:val="00624D20"/>
    <w:rsid w:val="0062770E"/>
    <w:rsid w:val="00636AE5"/>
    <w:rsid w:val="0064275F"/>
    <w:rsid w:val="00646E7C"/>
    <w:rsid w:val="00647EF2"/>
    <w:rsid w:val="006513DC"/>
    <w:rsid w:val="00651899"/>
    <w:rsid w:val="00653A85"/>
    <w:rsid w:val="006656F3"/>
    <w:rsid w:val="00685058"/>
    <w:rsid w:val="00691489"/>
    <w:rsid w:val="006932D5"/>
    <w:rsid w:val="00693A64"/>
    <w:rsid w:val="006B70B2"/>
    <w:rsid w:val="006D1766"/>
    <w:rsid w:val="006D7B1A"/>
    <w:rsid w:val="006E1EC6"/>
    <w:rsid w:val="006E2AC0"/>
    <w:rsid w:val="006E510D"/>
    <w:rsid w:val="00706C15"/>
    <w:rsid w:val="007118EA"/>
    <w:rsid w:val="007214A6"/>
    <w:rsid w:val="007218B7"/>
    <w:rsid w:val="00726A9C"/>
    <w:rsid w:val="007359BF"/>
    <w:rsid w:val="00743F26"/>
    <w:rsid w:val="007511C5"/>
    <w:rsid w:val="007540E0"/>
    <w:rsid w:val="007643A1"/>
    <w:rsid w:val="007663AF"/>
    <w:rsid w:val="0076668B"/>
    <w:rsid w:val="007749D9"/>
    <w:rsid w:val="00780F57"/>
    <w:rsid w:val="00791465"/>
    <w:rsid w:val="007914E0"/>
    <w:rsid w:val="007A32AF"/>
    <w:rsid w:val="007B038B"/>
    <w:rsid w:val="007B1BA1"/>
    <w:rsid w:val="007C048A"/>
    <w:rsid w:val="007D4060"/>
    <w:rsid w:val="007D40D2"/>
    <w:rsid w:val="007D7ABF"/>
    <w:rsid w:val="007D7FB1"/>
    <w:rsid w:val="007E56A2"/>
    <w:rsid w:val="007F197E"/>
    <w:rsid w:val="007F6D14"/>
    <w:rsid w:val="00803AC4"/>
    <w:rsid w:val="00806A44"/>
    <w:rsid w:val="00813FF0"/>
    <w:rsid w:val="00823D65"/>
    <w:rsid w:val="008321A4"/>
    <w:rsid w:val="00835942"/>
    <w:rsid w:val="00840093"/>
    <w:rsid w:val="0084354B"/>
    <w:rsid w:val="00852DC3"/>
    <w:rsid w:val="008541EF"/>
    <w:rsid w:val="00862C52"/>
    <w:rsid w:val="00874947"/>
    <w:rsid w:val="00876CBB"/>
    <w:rsid w:val="00891265"/>
    <w:rsid w:val="00895887"/>
    <w:rsid w:val="008A0847"/>
    <w:rsid w:val="008B4E4F"/>
    <w:rsid w:val="008C2559"/>
    <w:rsid w:val="008C7CCE"/>
    <w:rsid w:val="008D2BF5"/>
    <w:rsid w:val="008D7FD2"/>
    <w:rsid w:val="008E01C3"/>
    <w:rsid w:val="008E4142"/>
    <w:rsid w:val="008F62A9"/>
    <w:rsid w:val="009021F5"/>
    <w:rsid w:val="00904F26"/>
    <w:rsid w:val="00911717"/>
    <w:rsid w:val="009163A5"/>
    <w:rsid w:val="00930BDD"/>
    <w:rsid w:val="009428E9"/>
    <w:rsid w:val="00946FED"/>
    <w:rsid w:val="00953363"/>
    <w:rsid w:val="00955262"/>
    <w:rsid w:val="0096007E"/>
    <w:rsid w:val="009675D8"/>
    <w:rsid w:val="009844BE"/>
    <w:rsid w:val="009951EA"/>
    <w:rsid w:val="00997673"/>
    <w:rsid w:val="009A18A7"/>
    <w:rsid w:val="009A3C71"/>
    <w:rsid w:val="009A65FF"/>
    <w:rsid w:val="009B543F"/>
    <w:rsid w:val="009B5BC5"/>
    <w:rsid w:val="009C2F62"/>
    <w:rsid w:val="009C69F6"/>
    <w:rsid w:val="009D213F"/>
    <w:rsid w:val="009E1AB2"/>
    <w:rsid w:val="009E5564"/>
    <w:rsid w:val="00A02200"/>
    <w:rsid w:val="00A05539"/>
    <w:rsid w:val="00A068E6"/>
    <w:rsid w:val="00A11CD8"/>
    <w:rsid w:val="00A15FA6"/>
    <w:rsid w:val="00A27D29"/>
    <w:rsid w:val="00A30EA2"/>
    <w:rsid w:val="00A456BA"/>
    <w:rsid w:val="00A45FE5"/>
    <w:rsid w:val="00A525F0"/>
    <w:rsid w:val="00A566A2"/>
    <w:rsid w:val="00A5731A"/>
    <w:rsid w:val="00A677C3"/>
    <w:rsid w:val="00A72B9B"/>
    <w:rsid w:val="00A7638A"/>
    <w:rsid w:val="00AA4ED9"/>
    <w:rsid w:val="00AA79E7"/>
    <w:rsid w:val="00AD00CE"/>
    <w:rsid w:val="00AD5C9B"/>
    <w:rsid w:val="00AE07DE"/>
    <w:rsid w:val="00B03AF4"/>
    <w:rsid w:val="00B03DD6"/>
    <w:rsid w:val="00B0651E"/>
    <w:rsid w:val="00B20E37"/>
    <w:rsid w:val="00B22A07"/>
    <w:rsid w:val="00B23547"/>
    <w:rsid w:val="00B261BC"/>
    <w:rsid w:val="00B35E0C"/>
    <w:rsid w:val="00B447E6"/>
    <w:rsid w:val="00B72D0B"/>
    <w:rsid w:val="00B734F3"/>
    <w:rsid w:val="00B77F67"/>
    <w:rsid w:val="00B87413"/>
    <w:rsid w:val="00B913C7"/>
    <w:rsid w:val="00B95452"/>
    <w:rsid w:val="00B97B79"/>
    <w:rsid w:val="00BA56E9"/>
    <w:rsid w:val="00BB422B"/>
    <w:rsid w:val="00BC3150"/>
    <w:rsid w:val="00BD31C6"/>
    <w:rsid w:val="00BD6BB1"/>
    <w:rsid w:val="00BD724D"/>
    <w:rsid w:val="00BE6541"/>
    <w:rsid w:val="00BF5863"/>
    <w:rsid w:val="00C20C9C"/>
    <w:rsid w:val="00C25C7E"/>
    <w:rsid w:val="00C312EA"/>
    <w:rsid w:val="00C44C35"/>
    <w:rsid w:val="00C472D6"/>
    <w:rsid w:val="00C53169"/>
    <w:rsid w:val="00C54F26"/>
    <w:rsid w:val="00C60822"/>
    <w:rsid w:val="00C75FBC"/>
    <w:rsid w:val="00C76794"/>
    <w:rsid w:val="00C80E61"/>
    <w:rsid w:val="00C82101"/>
    <w:rsid w:val="00C832BF"/>
    <w:rsid w:val="00C964D7"/>
    <w:rsid w:val="00CB4FDB"/>
    <w:rsid w:val="00CB51AD"/>
    <w:rsid w:val="00CB547B"/>
    <w:rsid w:val="00CC2F3E"/>
    <w:rsid w:val="00D01E04"/>
    <w:rsid w:val="00D15925"/>
    <w:rsid w:val="00D22E21"/>
    <w:rsid w:val="00D363B6"/>
    <w:rsid w:val="00D42526"/>
    <w:rsid w:val="00D57912"/>
    <w:rsid w:val="00D57C49"/>
    <w:rsid w:val="00D57D40"/>
    <w:rsid w:val="00D8139F"/>
    <w:rsid w:val="00D829AC"/>
    <w:rsid w:val="00DB2463"/>
    <w:rsid w:val="00DC769E"/>
    <w:rsid w:val="00DD0F0C"/>
    <w:rsid w:val="00DD5296"/>
    <w:rsid w:val="00DE0391"/>
    <w:rsid w:val="00DE122E"/>
    <w:rsid w:val="00DE3A62"/>
    <w:rsid w:val="00DE76CB"/>
    <w:rsid w:val="00DF0D26"/>
    <w:rsid w:val="00E20E76"/>
    <w:rsid w:val="00E35C6E"/>
    <w:rsid w:val="00E42AEE"/>
    <w:rsid w:val="00E466AC"/>
    <w:rsid w:val="00E55071"/>
    <w:rsid w:val="00E6050E"/>
    <w:rsid w:val="00E60EE1"/>
    <w:rsid w:val="00E6671E"/>
    <w:rsid w:val="00E7217A"/>
    <w:rsid w:val="00E7384D"/>
    <w:rsid w:val="00E77DF6"/>
    <w:rsid w:val="00E83178"/>
    <w:rsid w:val="00E8352B"/>
    <w:rsid w:val="00EA468F"/>
    <w:rsid w:val="00EA6A49"/>
    <w:rsid w:val="00EA6AA2"/>
    <w:rsid w:val="00EB099A"/>
    <w:rsid w:val="00EB2785"/>
    <w:rsid w:val="00EC4BF6"/>
    <w:rsid w:val="00ED2F98"/>
    <w:rsid w:val="00F00B38"/>
    <w:rsid w:val="00F03C60"/>
    <w:rsid w:val="00F0591E"/>
    <w:rsid w:val="00F13CD9"/>
    <w:rsid w:val="00F400C4"/>
    <w:rsid w:val="00F42F0F"/>
    <w:rsid w:val="00F51C17"/>
    <w:rsid w:val="00F5571A"/>
    <w:rsid w:val="00F56C4B"/>
    <w:rsid w:val="00F62B16"/>
    <w:rsid w:val="00F65613"/>
    <w:rsid w:val="00F65949"/>
    <w:rsid w:val="00F65F63"/>
    <w:rsid w:val="00F66E14"/>
    <w:rsid w:val="00F754AB"/>
    <w:rsid w:val="00F87EA6"/>
    <w:rsid w:val="00FB0ABC"/>
    <w:rsid w:val="00FC2064"/>
    <w:rsid w:val="00FC21AD"/>
    <w:rsid w:val="00FD595E"/>
    <w:rsid w:val="00FE50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3891376">
      <w:bodyDiv w:val="1"/>
      <w:marLeft w:val="0"/>
      <w:marRight w:val="0"/>
      <w:marTop w:val="0"/>
      <w:marBottom w:val="0"/>
      <w:divBdr>
        <w:top w:val="none" w:sz="0" w:space="0" w:color="auto"/>
        <w:left w:val="none" w:sz="0" w:space="0" w:color="auto"/>
        <w:bottom w:val="none" w:sz="0" w:space="0" w:color="auto"/>
        <w:right w:val="none" w:sz="0" w:space="0" w:color="auto"/>
      </w:divBdr>
    </w:div>
    <w:div w:id="838621727">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768A-2CC9-4ADB-BBCB-7B021209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723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2018-09-17T13:52:00Z</cp:lastPrinted>
  <dcterms:created xsi:type="dcterms:W3CDTF">2019-02-14T13:03:00Z</dcterms:created>
  <dcterms:modified xsi:type="dcterms:W3CDTF">2019-02-14T13:03:00Z</dcterms:modified>
</cp:coreProperties>
</file>