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D4" w:rsidRPr="00374FC3" w:rsidRDefault="00C025D4" w:rsidP="00C025D4">
      <w:pPr>
        <w:tabs>
          <w:tab w:val="left" w:pos="750"/>
        </w:tabs>
        <w:spacing w:after="0" w:line="240" w:lineRule="auto"/>
        <w:jc w:val="center"/>
        <w:outlineLvl w:val="0"/>
        <w:rPr>
          <w:rFonts w:ascii="Arial" w:eastAsia="Arial Unicode MS" w:hAnsi="Arial" w:cs="Times New Roman"/>
          <w:color w:val="000000"/>
          <w:sz w:val="24"/>
          <w:szCs w:val="20"/>
          <w:lang w:eastAsia="en-ZA"/>
        </w:rPr>
      </w:pPr>
      <w:bookmarkStart w:id="0" w:name="_Hlk132900403"/>
      <w:r w:rsidRPr="00374FC3">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r>
        <w:rPr>
          <w:rFonts w:ascii="Arial" w:eastAsia="Arial Unicode MS" w:hAnsi="Arial" w:cs="Times New Roman"/>
          <w:color w:val="000000"/>
          <w:sz w:val="24"/>
          <w:szCs w:val="20"/>
          <w:lang w:eastAsia="en-ZA"/>
        </w:rPr>
        <w:tab/>
      </w:r>
    </w:p>
    <w:p w:rsidR="00C025D4" w:rsidRPr="00374FC3" w:rsidRDefault="00C025D4" w:rsidP="00C025D4">
      <w:pPr>
        <w:spacing w:after="0" w:line="240" w:lineRule="auto"/>
        <w:outlineLvl w:val="0"/>
        <w:rPr>
          <w:rFonts w:ascii="Arial" w:eastAsia="Arial Unicode MS" w:hAnsi="Arial" w:cs="Times New Roman"/>
          <w:color w:val="000000"/>
          <w:sz w:val="24"/>
          <w:szCs w:val="20"/>
          <w:lang w:eastAsia="en-ZA"/>
        </w:rPr>
      </w:pPr>
    </w:p>
    <w:p w:rsidR="00C025D4" w:rsidRPr="00374FC3" w:rsidRDefault="00C025D4" w:rsidP="00C025D4">
      <w:pPr>
        <w:spacing w:after="0" w:line="240" w:lineRule="auto"/>
        <w:outlineLvl w:val="0"/>
        <w:rPr>
          <w:rFonts w:ascii="Arial" w:eastAsia="Arial Unicode MS" w:hAnsi="Arial" w:cs="Times New Roman"/>
          <w:color w:val="000000"/>
          <w:sz w:val="24"/>
          <w:szCs w:val="20"/>
          <w:lang w:eastAsia="en-ZA"/>
        </w:rPr>
      </w:pPr>
    </w:p>
    <w:p w:rsidR="00C025D4" w:rsidRPr="00374FC3" w:rsidRDefault="00C025D4" w:rsidP="00C025D4">
      <w:pPr>
        <w:spacing w:after="0" w:line="240" w:lineRule="auto"/>
        <w:jc w:val="center"/>
        <w:outlineLvl w:val="0"/>
        <w:rPr>
          <w:rFonts w:ascii="Arial" w:eastAsia="Arial Unicode MS" w:hAnsi="Arial" w:cs="Times New Roman"/>
          <w:b/>
          <w:color w:val="000000"/>
          <w:sz w:val="24"/>
          <w:szCs w:val="20"/>
          <w:lang w:eastAsia="en-ZA"/>
        </w:rPr>
      </w:pPr>
    </w:p>
    <w:p w:rsidR="00C025D4" w:rsidRPr="00374FC3" w:rsidRDefault="00C025D4" w:rsidP="00C025D4">
      <w:pPr>
        <w:spacing w:after="0" w:line="240" w:lineRule="auto"/>
        <w:jc w:val="center"/>
        <w:outlineLvl w:val="0"/>
        <w:rPr>
          <w:rFonts w:ascii="Arial" w:eastAsia="Arial Unicode MS" w:hAnsi="Arial" w:cs="Times New Roman"/>
          <w:b/>
          <w:color w:val="000000"/>
          <w:sz w:val="24"/>
          <w:szCs w:val="20"/>
          <w:lang w:eastAsia="en-ZA"/>
        </w:rPr>
      </w:pPr>
    </w:p>
    <w:p w:rsidR="00C025D4" w:rsidRPr="00374FC3" w:rsidRDefault="00C025D4" w:rsidP="00C025D4">
      <w:pPr>
        <w:spacing w:after="0" w:line="276" w:lineRule="auto"/>
        <w:jc w:val="center"/>
        <w:outlineLvl w:val="0"/>
        <w:rPr>
          <w:rFonts w:ascii="Arial" w:eastAsia="Arial Unicode MS" w:hAnsi="Arial" w:cs="Times New Roman"/>
          <w:b/>
          <w:color w:val="000000"/>
          <w:sz w:val="24"/>
          <w:szCs w:val="20"/>
          <w:lang w:eastAsia="en-ZA"/>
        </w:rPr>
      </w:pPr>
      <w:r w:rsidRPr="00374FC3">
        <w:rPr>
          <w:rFonts w:ascii="Arial" w:eastAsia="Arial Unicode MS" w:hAnsi="Arial Unicode MS" w:cs="Times New Roman"/>
          <w:b/>
          <w:color w:val="000000"/>
          <w:sz w:val="24"/>
          <w:szCs w:val="20"/>
          <w:lang w:eastAsia="en-ZA"/>
        </w:rPr>
        <w:t>MINISTRY: PUBLIC SERVICE AND ADMINISTRATION</w:t>
      </w:r>
    </w:p>
    <w:p w:rsidR="00C025D4" w:rsidRPr="00374FC3" w:rsidRDefault="00C025D4" w:rsidP="00C025D4">
      <w:pPr>
        <w:spacing w:after="0" w:line="276" w:lineRule="auto"/>
        <w:jc w:val="center"/>
        <w:outlineLvl w:val="0"/>
        <w:rPr>
          <w:rFonts w:ascii="Arial" w:eastAsia="Arial Unicode MS" w:hAnsi="Arial" w:cs="Times New Roman"/>
          <w:b/>
          <w:color w:val="000000"/>
          <w:sz w:val="24"/>
          <w:szCs w:val="20"/>
          <w:lang w:eastAsia="en-ZA"/>
        </w:rPr>
      </w:pPr>
      <w:r w:rsidRPr="00374FC3">
        <w:rPr>
          <w:rFonts w:ascii="Arial" w:eastAsia="Arial Unicode MS" w:hAnsi="Arial Unicode MS" w:cs="Times New Roman"/>
          <w:b/>
          <w:color w:val="000000"/>
          <w:sz w:val="24"/>
          <w:szCs w:val="20"/>
          <w:lang w:eastAsia="en-ZA"/>
        </w:rPr>
        <w:t>REPUBLIC OF SOUTH AFRICA</w:t>
      </w:r>
    </w:p>
    <w:p w:rsidR="00C025D4" w:rsidRPr="00374FC3" w:rsidRDefault="00C025D4" w:rsidP="00C025D4">
      <w:pPr>
        <w:spacing w:after="0" w:line="276" w:lineRule="auto"/>
        <w:outlineLvl w:val="0"/>
        <w:rPr>
          <w:rFonts w:ascii="Arial" w:eastAsia="Arial Unicode MS" w:hAnsi="Arial" w:cs="Arial"/>
          <w:b/>
          <w:sz w:val="24"/>
          <w:szCs w:val="24"/>
          <w:lang w:eastAsia="en-ZA"/>
        </w:rPr>
      </w:pPr>
    </w:p>
    <w:p w:rsidR="00C025D4" w:rsidRPr="00374FC3" w:rsidRDefault="00C025D4" w:rsidP="00C025D4">
      <w:pPr>
        <w:spacing w:after="0" w:line="276" w:lineRule="auto"/>
        <w:outlineLvl w:val="0"/>
        <w:rPr>
          <w:rFonts w:ascii="Arial" w:eastAsia="Arial Unicode MS" w:hAnsi="Arial" w:cs="Arial"/>
          <w:b/>
          <w:sz w:val="24"/>
          <w:szCs w:val="24"/>
          <w:lang w:eastAsia="en-ZA"/>
        </w:rPr>
      </w:pPr>
      <w:r w:rsidRPr="00374FC3">
        <w:rPr>
          <w:rFonts w:ascii="Arial" w:eastAsia="Arial Unicode MS" w:hAnsi="Arial" w:cs="Arial"/>
          <w:b/>
          <w:sz w:val="24"/>
          <w:szCs w:val="24"/>
          <w:lang w:eastAsia="en-ZA"/>
        </w:rPr>
        <w:t>NATIONAL ASSEMBLY</w:t>
      </w:r>
    </w:p>
    <w:p w:rsidR="00C025D4" w:rsidRPr="00374FC3" w:rsidRDefault="00C025D4" w:rsidP="00C025D4">
      <w:pPr>
        <w:spacing w:after="0" w:line="276" w:lineRule="auto"/>
        <w:outlineLvl w:val="0"/>
        <w:rPr>
          <w:rFonts w:ascii="Arial" w:eastAsia="Arial Unicode MS" w:hAnsi="Arial" w:cs="Arial"/>
          <w:b/>
          <w:sz w:val="24"/>
          <w:szCs w:val="24"/>
          <w:lang w:eastAsia="en-ZA"/>
        </w:rPr>
      </w:pPr>
    </w:p>
    <w:p w:rsidR="00C025D4" w:rsidRPr="00374FC3" w:rsidRDefault="00C025D4" w:rsidP="00C025D4">
      <w:pPr>
        <w:spacing w:after="0" w:line="276" w:lineRule="auto"/>
        <w:outlineLvl w:val="0"/>
        <w:rPr>
          <w:rFonts w:ascii="Arial" w:eastAsia="Arial Unicode MS" w:hAnsi="Arial" w:cs="Arial"/>
          <w:b/>
          <w:sz w:val="24"/>
          <w:szCs w:val="24"/>
          <w:lang w:eastAsia="en-ZA"/>
        </w:rPr>
      </w:pPr>
      <w:r w:rsidRPr="00374FC3">
        <w:rPr>
          <w:rFonts w:ascii="Arial" w:eastAsia="Arial Unicode MS" w:hAnsi="Arial" w:cs="Arial"/>
          <w:b/>
          <w:sz w:val="24"/>
          <w:szCs w:val="24"/>
          <w:lang w:eastAsia="en-ZA"/>
        </w:rPr>
        <w:t xml:space="preserve">QUESTION FOR WRITTEN REPLY </w:t>
      </w:r>
    </w:p>
    <w:p w:rsidR="00C025D4" w:rsidRPr="00374FC3" w:rsidRDefault="00C025D4" w:rsidP="00C025D4">
      <w:pPr>
        <w:spacing w:after="0" w:line="276" w:lineRule="auto"/>
        <w:outlineLvl w:val="0"/>
        <w:rPr>
          <w:rFonts w:ascii="Arial" w:eastAsia="Arial Unicode MS" w:hAnsi="Arial" w:cs="Arial"/>
          <w:b/>
          <w:sz w:val="24"/>
          <w:szCs w:val="24"/>
          <w:lang w:eastAsia="en-ZA"/>
        </w:rPr>
      </w:pPr>
    </w:p>
    <w:p w:rsidR="00C025D4" w:rsidRPr="00374FC3" w:rsidRDefault="00C025D4" w:rsidP="00C025D4">
      <w:pPr>
        <w:spacing w:after="0" w:line="276" w:lineRule="auto"/>
        <w:outlineLvl w:val="0"/>
        <w:rPr>
          <w:rFonts w:ascii="Arial" w:eastAsia="Arial Unicode MS" w:hAnsi="Arial" w:cs="Arial"/>
          <w:b/>
          <w:sz w:val="24"/>
          <w:szCs w:val="24"/>
          <w:lang w:eastAsia="en-ZA"/>
        </w:rPr>
      </w:pPr>
      <w:r w:rsidRPr="00374FC3">
        <w:rPr>
          <w:rFonts w:ascii="Arial" w:eastAsia="Arial Unicode MS" w:hAnsi="Arial" w:cs="Arial"/>
          <w:b/>
          <w:sz w:val="24"/>
          <w:szCs w:val="24"/>
          <w:lang w:eastAsia="en-ZA"/>
        </w:rPr>
        <w:t>DATE:</w:t>
      </w:r>
      <w:r w:rsidRPr="00374FC3">
        <w:rPr>
          <w:rFonts w:ascii="Arial" w:eastAsia="Arial Unicode MS" w:hAnsi="Arial" w:cs="Arial"/>
          <w:b/>
          <w:sz w:val="24"/>
          <w:szCs w:val="24"/>
          <w:lang w:eastAsia="en-ZA"/>
        </w:rPr>
        <w:tab/>
      </w:r>
      <w:r w:rsidRPr="00374FC3">
        <w:rPr>
          <w:rFonts w:ascii="Arial" w:eastAsia="Arial Unicode MS" w:hAnsi="Arial" w:cs="Arial"/>
          <w:b/>
          <w:sz w:val="24"/>
          <w:szCs w:val="24"/>
          <w:lang w:eastAsia="en-ZA"/>
        </w:rPr>
        <w:tab/>
      </w:r>
      <w:r>
        <w:rPr>
          <w:rFonts w:ascii="Arial" w:eastAsia="Arial Unicode MS" w:hAnsi="Arial" w:cs="Arial"/>
          <w:b/>
          <w:sz w:val="24"/>
          <w:szCs w:val="24"/>
          <w:lang w:eastAsia="en-ZA"/>
        </w:rPr>
        <w:t>15 JUNE</w:t>
      </w:r>
      <w:r w:rsidRPr="00374FC3">
        <w:rPr>
          <w:rFonts w:ascii="Arial" w:eastAsia="Arial Unicode MS" w:hAnsi="Arial" w:cs="Arial"/>
          <w:b/>
          <w:sz w:val="24"/>
          <w:szCs w:val="24"/>
          <w:lang w:eastAsia="en-ZA"/>
        </w:rPr>
        <w:t xml:space="preserve"> 2023</w:t>
      </w:r>
    </w:p>
    <w:p w:rsidR="00C025D4" w:rsidRPr="00374FC3" w:rsidRDefault="00C025D4" w:rsidP="00C025D4">
      <w:pPr>
        <w:spacing w:after="0" w:line="276" w:lineRule="auto"/>
        <w:outlineLvl w:val="0"/>
        <w:rPr>
          <w:rFonts w:ascii="Arial" w:eastAsia="Arial Unicode MS" w:hAnsi="Arial" w:cs="Arial"/>
          <w:b/>
          <w:sz w:val="24"/>
          <w:szCs w:val="24"/>
          <w:lang w:eastAsia="en-ZA"/>
        </w:rPr>
      </w:pPr>
    </w:p>
    <w:p w:rsidR="00C025D4" w:rsidRPr="00374FC3" w:rsidRDefault="00C025D4" w:rsidP="00C025D4">
      <w:pPr>
        <w:spacing w:after="0" w:line="276" w:lineRule="auto"/>
        <w:outlineLvl w:val="0"/>
        <w:rPr>
          <w:rFonts w:ascii="Arial" w:eastAsia="Arial Unicode MS" w:hAnsi="Arial" w:cs="Arial"/>
          <w:b/>
          <w:sz w:val="24"/>
          <w:szCs w:val="24"/>
          <w:lang w:eastAsia="en-ZA"/>
        </w:rPr>
      </w:pPr>
      <w:r w:rsidRPr="00374FC3">
        <w:rPr>
          <w:rFonts w:ascii="Arial" w:eastAsia="Arial Unicode MS" w:hAnsi="Arial" w:cs="Arial"/>
          <w:b/>
          <w:sz w:val="24"/>
          <w:szCs w:val="24"/>
          <w:lang w:eastAsia="en-ZA"/>
        </w:rPr>
        <w:t xml:space="preserve">QUESTION NO.: </w:t>
      </w:r>
      <w:r w:rsidRPr="00374FC3">
        <w:rPr>
          <w:rFonts w:ascii="Arial" w:eastAsia="Arial Unicode MS" w:hAnsi="Arial" w:cs="Arial"/>
          <w:b/>
          <w:sz w:val="24"/>
          <w:szCs w:val="24"/>
          <w:lang w:eastAsia="en-ZA"/>
        </w:rPr>
        <w:tab/>
      </w:r>
      <w:r>
        <w:rPr>
          <w:rFonts w:ascii="Arial" w:eastAsia="Arial Unicode MS" w:hAnsi="Arial" w:cs="Arial"/>
          <w:b/>
          <w:sz w:val="24"/>
          <w:szCs w:val="24"/>
          <w:lang w:eastAsia="en-ZA"/>
        </w:rPr>
        <w:t>2514</w:t>
      </w:r>
      <w:r w:rsidRPr="00374FC3">
        <w:rPr>
          <w:rFonts w:ascii="Arial" w:eastAsia="Arial Unicode MS" w:hAnsi="Arial" w:cs="Arial"/>
          <w:b/>
          <w:sz w:val="24"/>
          <w:szCs w:val="24"/>
          <w:lang w:eastAsia="en-ZA"/>
        </w:rPr>
        <w:t>.</w:t>
      </w:r>
      <w:r w:rsidRPr="00374FC3">
        <w:rPr>
          <w:rFonts w:ascii="Arial" w:eastAsia="Arial Unicode MS" w:hAnsi="Arial" w:cs="Arial"/>
          <w:b/>
          <w:sz w:val="24"/>
          <w:szCs w:val="24"/>
          <w:lang w:eastAsia="en-ZA"/>
        </w:rPr>
        <w:tab/>
      </w:r>
      <w:bookmarkStart w:id="1" w:name="_Hlk127972345"/>
    </w:p>
    <w:bookmarkEnd w:id="1"/>
    <w:p w:rsidR="00C025D4" w:rsidRPr="00533000" w:rsidRDefault="00C025D4" w:rsidP="00C025D4">
      <w:pPr>
        <w:spacing w:before="100" w:beforeAutospacing="1" w:after="100" w:afterAutospacing="1" w:line="240" w:lineRule="auto"/>
        <w:ind w:left="709" w:hanging="709"/>
        <w:jc w:val="both"/>
        <w:rPr>
          <w:rFonts w:ascii="Arial" w:hAnsi="Arial" w:cs="Arial"/>
          <w:b/>
          <w:bCs/>
          <w:color w:val="000000" w:themeColor="text1"/>
          <w:sz w:val="24"/>
          <w:szCs w:val="24"/>
          <w:lang w:val="en-US"/>
        </w:rPr>
      </w:pPr>
      <w:r w:rsidRPr="00533000">
        <w:rPr>
          <w:rFonts w:ascii="Arial" w:hAnsi="Arial" w:cs="Arial"/>
          <w:b/>
          <w:bCs/>
          <w:sz w:val="24"/>
          <w:szCs w:val="24"/>
          <w:lang w:val="en-US"/>
        </w:rPr>
        <w:t xml:space="preserve">Mr A V </w:t>
      </w:r>
      <w:r w:rsidRPr="00533000">
        <w:rPr>
          <w:rFonts w:ascii="Arial" w:hAnsi="Arial" w:cs="Arial"/>
          <w:b/>
          <w:sz w:val="24"/>
          <w:szCs w:val="24"/>
        </w:rPr>
        <w:t>Khoza</w:t>
      </w:r>
      <w:r w:rsidRPr="00533000">
        <w:rPr>
          <w:rFonts w:ascii="Arial" w:hAnsi="Arial" w:cs="Arial"/>
          <w:b/>
          <w:bCs/>
          <w:sz w:val="24"/>
          <w:szCs w:val="24"/>
          <w:lang w:val="en-US"/>
        </w:rPr>
        <w:t xml:space="preserve"> (EFF) to ask the Minister of </w:t>
      </w:r>
      <w:r w:rsidRPr="00533000">
        <w:rPr>
          <w:rFonts w:ascii="Arial" w:hAnsi="Arial" w:cs="Arial"/>
          <w:b/>
          <w:bCs/>
          <w:sz w:val="24"/>
          <w:szCs w:val="24"/>
          <w:lang w:val="en-GB"/>
        </w:rPr>
        <w:t xml:space="preserve">Public Service and </w:t>
      </w:r>
      <w:r w:rsidRPr="00533000">
        <w:rPr>
          <w:rFonts w:ascii="Arial" w:hAnsi="Arial" w:cs="Arial"/>
          <w:b/>
          <w:bCs/>
          <w:sz w:val="24"/>
          <w:szCs w:val="24"/>
        </w:rPr>
        <w:t>Administration</w:t>
      </w:r>
      <w:r w:rsidR="00E000F6" w:rsidRPr="00533000">
        <w:rPr>
          <w:rFonts w:ascii="Arial" w:hAnsi="Arial" w:cs="Arial"/>
          <w:b/>
          <w:bCs/>
          <w:sz w:val="24"/>
          <w:szCs w:val="24"/>
        </w:rPr>
        <w:fldChar w:fldCharType="begin"/>
      </w:r>
      <w:r w:rsidRPr="00533000">
        <w:rPr>
          <w:rFonts w:ascii="Arial" w:hAnsi="Arial" w:cs="Arial"/>
          <w:sz w:val="24"/>
          <w:szCs w:val="24"/>
        </w:rPr>
        <w:instrText xml:space="preserve"> XE "</w:instrText>
      </w:r>
      <w:r w:rsidRPr="00533000">
        <w:rPr>
          <w:rFonts w:ascii="Arial" w:hAnsi="Arial" w:cs="Arial"/>
          <w:b/>
          <w:bCs/>
          <w:sz w:val="24"/>
          <w:szCs w:val="24"/>
          <w:lang w:val="en-US"/>
        </w:rPr>
        <w:instrText xml:space="preserve">Minister of </w:instrText>
      </w:r>
      <w:r w:rsidRPr="00533000">
        <w:rPr>
          <w:rFonts w:ascii="Arial" w:hAnsi="Arial" w:cs="Arial"/>
          <w:b/>
          <w:bCs/>
          <w:sz w:val="24"/>
          <w:szCs w:val="24"/>
          <w:lang w:val="en-GB"/>
        </w:rPr>
        <w:instrText xml:space="preserve">Public Service and </w:instrText>
      </w:r>
      <w:r w:rsidRPr="00533000">
        <w:rPr>
          <w:rFonts w:ascii="Arial" w:hAnsi="Arial" w:cs="Arial"/>
          <w:b/>
          <w:bCs/>
          <w:sz w:val="24"/>
          <w:szCs w:val="24"/>
        </w:rPr>
        <w:instrText>Administration</w:instrText>
      </w:r>
      <w:r w:rsidRPr="00533000">
        <w:rPr>
          <w:rFonts w:ascii="Arial" w:hAnsi="Arial" w:cs="Arial"/>
          <w:sz w:val="24"/>
          <w:szCs w:val="24"/>
        </w:rPr>
        <w:instrText xml:space="preserve">" </w:instrText>
      </w:r>
      <w:r w:rsidR="00E000F6" w:rsidRPr="00533000">
        <w:rPr>
          <w:rFonts w:ascii="Arial" w:hAnsi="Arial" w:cs="Arial"/>
          <w:b/>
          <w:bCs/>
          <w:sz w:val="24"/>
          <w:szCs w:val="24"/>
        </w:rPr>
        <w:fldChar w:fldCharType="end"/>
      </w:r>
      <w:r w:rsidRPr="00533000">
        <w:rPr>
          <w:rFonts w:ascii="Arial" w:hAnsi="Arial" w:cs="Arial"/>
          <w:b/>
          <w:bCs/>
          <w:sz w:val="24"/>
          <w:szCs w:val="24"/>
          <w:lang w:val="en-GB"/>
        </w:rPr>
        <w:t>:</w:t>
      </w:r>
    </w:p>
    <w:p w:rsidR="00C025D4" w:rsidRPr="00533000" w:rsidRDefault="00C025D4" w:rsidP="00C025D4">
      <w:pPr>
        <w:autoSpaceDE w:val="0"/>
        <w:autoSpaceDN w:val="0"/>
        <w:adjustRightInd w:val="0"/>
        <w:spacing w:before="100" w:beforeAutospacing="1" w:after="100" w:afterAutospacing="1" w:line="240" w:lineRule="auto"/>
        <w:jc w:val="both"/>
        <w:rPr>
          <w:rFonts w:ascii="Arial" w:eastAsia="Times New Roman" w:hAnsi="Arial" w:cs="Arial"/>
          <w:bCs/>
          <w:sz w:val="24"/>
          <w:szCs w:val="24"/>
        </w:rPr>
      </w:pPr>
      <w:r w:rsidRPr="00533000">
        <w:rPr>
          <w:rFonts w:ascii="Arial" w:hAnsi="Arial" w:cs="Arial"/>
          <w:sz w:val="24"/>
          <w:szCs w:val="24"/>
          <w:lang w:val="en-GB"/>
        </w:rPr>
        <w:t>In light of the practice by big businesses, banks and other corporates of seconding their employees to state departments, including The Presidency, what (a) total number of employees from the specified entities are seconded to the State departments, (b) number of secondments are paid by the (</w:t>
      </w:r>
      <w:proofErr w:type="spellStart"/>
      <w:r w:rsidRPr="00533000">
        <w:rPr>
          <w:rFonts w:ascii="Arial" w:hAnsi="Arial" w:cs="Arial"/>
          <w:sz w:val="24"/>
          <w:szCs w:val="24"/>
          <w:lang w:val="en-GB"/>
        </w:rPr>
        <w:t>i</w:t>
      </w:r>
      <w:proofErr w:type="spellEnd"/>
      <w:r w:rsidRPr="00533000">
        <w:rPr>
          <w:rFonts w:ascii="Arial" w:hAnsi="Arial" w:cs="Arial"/>
          <w:sz w:val="24"/>
          <w:szCs w:val="24"/>
          <w:lang w:val="en-GB"/>
        </w:rPr>
        <w:t>) respective entities and (ii) State and (c) are the companies getting in return for them to second own employees to the State and even pay them?</w:t>
      </w:r>
      <w:r w:rsidRPr="00533000">
        <w:rPr>
          <w:rFonts w:ascii="Arial" w:hAnsi="Arial" w:cs="Arial"/>
          <w:b/>
          <w:bCs/>
          <w:sz w:val="24"/>
          <w:szCs w:val="24"/>
          <w:lang w:val="en-GB"/>
        </w:rPr>
        <w:tab/>
      </w:r>
      <w:r w:rsidRPr="00533000">
        <w:rPr>
          <w:rFonts w:ascii="Arial" w:hAnsi="Arial" w:cs="Arial"/>
          <w:b/>
          <w:bCs/>
          <w:sz w:val="24"/>
          <w:szCs w:val="24"/>
          <w:lang w:val="en-GB"/>
        </w:rPr>
        <w:tab/>
      </w:r>
      <w:r w:rsidRPr="00533000">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sidRPr="009636A3">
        <w:rPr>
          <w:rFonts w:ascii="Arial" w:eastAsia="Times New Roman" w:hAnsi="Arial" w:cs="Arial"/>
          <w:b/>
          <w:sz w:val="24"/>
          <w:szCs w:val="24"/>
        </w:rPr>
        <w:t>NW2858E</w:t>
      </w:r>
    </w:p>
    <w:p w:rsidR="00C025D4" w:rsidRDefault="00C025D4" w:rsidP="00C025D4">
      <w:pPr>
        <w:rPr>
          <w:rFonts w:ascii="Arial" w:eastAsia="Arial" w:hAnsi="Arial" w:cs="Arial"/>
          <w:b/>
          <w:sz w:val="24"/>
          <w:szCs w:val="24"/>
        </w:rPr>
      </w:pPr>
    </w:p>
    <w:p w:rsidR="00C025D4" w:rsidRDefault="00C025D4" w:rsidP="00C025D4">
      <w:pPr>
        <w:rPr>
          <w:rFonts w:ascii="Arial" w:eastAsia="Arial" w:hAnsi="Arial" w:cs="Arial"/>
          <w:b/>
          <w:sz w:val="24"/>
          <w:szCs w:val="24"/>
        </w:rPr>
      </w:pPr>
      <w:r w:rsidRPr="00374FC3">
        <w:rPr>
          <w:rFonts w:ascii="Arial" w:eastAsia="Arial" w:hAnsi="Arial" w:cs="Arial"/>
          <w:b/>
          <w:sz w:val="24"/>
          <w:szCs w:val="24"/>
        </w:rPr>
        <w:t>REPLY:</w:t>
      </w:r>
      <w:bookmarkEnd w:id="0"/>
    </w:p>
    <w:p w:rsidR="00C025D4" w:rsidRPr="00DD600B" w:rsidRDefault="00C025D4" w:rsidP="00C025D4">
      <w:pPr>
        <w:spacing w:before="240" w:line="276" w:lineRule="auto"/>
        <w:jc w:val="both"/>
        <w:rPr>
          <w:rFonts w:ascii="Arial" w:eastAsia="Arial" w:hAnsi="Arial" w:cs="Arial"/>
          <w:bCs/>
          <w:sz w:val="24"/>
          <w:szCs w:val="24"/>
        </w:rPr>
      </w:pPr>
      <w:r w:rsidRPr="00DD600B">
        <w:rPr>
          <w:rFonts w:ascii="Arial" w:eastAsia="Arial" w:hAnsi="Arial" w:cs="Arial"/>
          <w:b/>
          <w:sz w:val="24"/>
          <w:szCs w:val="24"/>
        </w:rPr>
        <w:t>a)</w:t>
      </w:r>
      <w:r>
        <w:rPr>
          <w:rFonts w:ascii="Arial" w:eastAsia="Arial" w:hAnsi="Arial" w:cs="Arial"/>
          <w:b/>
          <w:sz w:val="24"/>
          <w:szCs w:val="24"/>
        </w:rPr>
        <w:t xml:space="preserve"> &amp; </w:t>
      </w:r>
      <w:r w:rsidRPr="00DD600B">
        <w:rPr>
          <w:rFonts w:ascii="Arial" w:eastAsia="Arial" w:hAnsi="Arial" w:cs="Arial"/>
          <w:b/>
          <w:sz w:val="24"/>
          <w:szCs w:val="24"/>
        </w:rPr>
        <w:t>(b) (</w:t>
      </w:r>
      <w:proofErr w:type="spellStart"/>
      <w:r w:rsidRPr="00DD600B">
        <w:rPr>
          <w:rFonts w:ascii="Arial" w:eastAsia="Arial" w:hAnsi="Arial" w:cs="Arial"/>
          <w:b/>
          <w:sz w:val="24"/>
          <w:szCs w:val="24"/>
        </w:rPr>
        <w:t>i</w:t>
      </w:r>
      <w:proofErr w:type="spellEnd"/>
      <w:r w:rsidRPr="00DD600B">
        <w:rPr>
          <w:rFonts w:ascii="Arial" w:eastAsia="Arial" w:hAnsi="Arial" w:cs="Arial"/>
          <w:b/>
          <w:sz w:val="24"/>
          <w:szCs w:val="24"/>
        </w:rPr>
        <w:t>-ii)</w:t>
      </w:r>
      <w:r>
        <w:rPr>
          <w:rFonts w:ascii="Arial" w:eastAsia="Arial" w:hAnsi="Arial" w:cs="Arial"/>
          <w:bCs/>
          <w:sz w:val="24"/>
          <w:szCs w:val="24"/>
        </w:rPr>
        <w:t xml:space="preserve"> </w:t>
      </w:r>
      <w:r w:rsidRPr="007E1547">
        <w:rPr>
          <w:rFonts w:ascii="Arial" w:eastAsia="Arial" w:hAnsi="Arial" w:cs="Arial"/>
          <w:bCs/>
          <w:sz w:val="24"/>
          <w:szCs w:val="24"/>
        </w:rPr>
        <w:t xml:space="preserve">Regulation 62 of the Public Service Regulations (PSR), 2016 states that </w:t>
      </w:r>
      <w:r>
        <w:rPr>
          <w:rFonts w:ascii="Arial" w:eastAsia="Arial" w:hAnsi="Arial" w:cs="Arial"/>
          <w:bCs/>
          <w:sz w:val="24"/>
          <w:szCs w:val="24"/>
        </w:rPr>
        <w:t xml:space="preserve">a </w:t>
      </w:r>
      <w:r w:rsidRPr="004D1CF6">
        <w:rPr>
          <w:rFonts w:ascii="Arial" w:eastAsia="Arial" w:hAnsi="Arial" w:cs="Arial"/>
          <w:sz w:val="24"/>
          <w:szCs w:val="24"/>
        </w:rPr>
        <w:t xml:space="preserve">secondment in terms of section 15 (2) or (3) of the </w:t>
      </w:r>
      <w:r>
        <w:rPr>
          <w:rFonts w:ascii="Arial" w:eastAsia="Arial" w:hAnsi="Arial" w:cs="Arial"/>
          <w:sz w:val="24"/>
          <w:szCs w:val="24"/>
        </w:rPr>
        <w:t xml:space="preserve">Public Service </w:t>
      </w:r>
      <w:r w:rsidRPr="004D1CF6">
        <w:rPr>
          <w:rFonts w:ascii="Arial" w:eastAsia="Arial" w:hAnsi="Arial" w:cs="Arial"/>
          <w:sz w:val="24"/>
          <w:szCs w:val="24"/>
        </w:rPr>
        <w:t>Act</w:t>
      </w:r>
      <w:r>
        <w:rPr>
          <w:rFonts w:ascii="Arial" w:eastAsia="Arial" w:hAnsi="Arial" w:cs="Arial"/>
          <w:sz w:val="24"/>
          <w:szCs w:val="24"/>
        </w:rPr>
        <w:t>, 1994</w:t>
      </w:r>
      <w:r w:rsidRPr="004D1CF6">
        <w:rPr>
          <w:rFonts w:ascii="Arial" w:eastAsia="Arial" w:hAnsi="Arial" w:cs="Arial"/>
          <w:sz w:val="24"/>
          <w:szCs w:val="24"/>
        </w:rPr>
        <w:t xml:space="preserve"> may only take place if</w:t>
      </w:r>
      <w:r>
        <w:rPr>
          <w:rFonts w:ascii="Arial" w:eastAsia="Arial" w:hAnsi="Arial" w:cs="Arial"/>
          <w:sz w:val="24"/>
          <w:szCs w:val="24"/>
        </w:rPr>
        <w:t>-</w:t>
      </w:r>
    </w:p>
    <w:p w:rsidR="00C025D4" w:rsidRDefault="00C025D4" w:rsidP="00C025D4">
      <w:pPr>
        <w:pStyle w:val="ListParagraph"/>
        <w:numPr>
          <w:ilvl w:val="0"/>
          <w:numId w:val="1"/>
        </w:numPr>
        <w:spacing w:before="240" w:line="276" w:lineRule="auto"/>
        <w:jc w:val="both"/>
        <w:rPr>
          <w:rFonts w:ascii="Arial" w:eastAsia="Arial" w:hAnsi="Arial" w:cs="Arial"/>
          <w:sz w:val="24"/>
          <w:szCs w:val="24"/>
        </w:rPr>
      </w:pPr>
      <w:r w:rsidRPr="007E1547">
        <w:rPr>
          <w:rFonts w:ascii="Arial" w:eastAsia="Arial" w:hAnsi="Arial" w:cs="Arial"/>
          <w:sz w:val="24"/>
          <w:szCs w:val="24"/>
        </w:rPr>
        <w:t>The employee or person being seconded has the necessary competency;</w:t>
      </w:r>
    </w:p>
    <w:p w:rsidR="00C025D4" w:rsidRPr="007E1547" w:rsidRDefault="00C025D4" w:rsidP="00C025D4">
      <w:pPr>
        <w:pStyle w:val="ListParagraph"/>
        <w:spacing w:before="240" w:line="276" w:lineRule="auto"/>
        <w:jc w:val="both"/>
        <w:rPr>
          <w:rFonts w:ascii="Arial" w:eastAsia="Arial" w:hAnsi="Arial" w:cs="Arial"/>
          <w:sz w:val="24"/>
          <w:szCs w:val="24"/>
        </w:rPr>
      </w:pPr>
    </w:p>
    <w:p w:rsidR="00C025D4" w:rsidRDefault="00C025D4" w:rsidP="00C025D4">
      <w:pPr>
        <w:pStyle w:val="ListParagraph"/>
        <w:numPr>
          <w:ilvl w:val="0"/>
          <w:numId w:val="1"/>
        </w:numPr>
        <w:spacing w:before="240" w:line="276" w:lineRule="auto"/>
        <w:jc w:val="both"/>
        <w:rPr>
          <w:rFonts w:ascii="Arial" w:eastAsia="Arial" w:hAnsi="Arial" w:cs="Arial"/>
          <w:sz w:val="24"/>
          <w:szCs w:val="24"/>
        </w:rPr>
      </w:pPr>
      <w:r w:rsidRPr="007E1547">
        <w:rPr>
          <w:rFonts w:ascii="Arial" w:eastAsia="Arial" w:hAnsi="Arial" w:cs="Arial"/>
          <w:sz w:val="24"/>
          <w:szCs w:val="24"/>
        </w:rPr>
        <w:t>The period of secondment does not exceed 12 calendar months, unless due to operational reasons determined otherwise by the Minister for the Public Service and Administration (MPSA); and</w:t>
      </w:r>
    </w:p>
    <w:p w:rsidR="00C025D4" w:rsidRPr="00495430" w:rsidRDefault="00C025D4" w:rsidP="00C025D4">
      <w:pPr>
        <w:pStyle w:val="ListParagraph"/>
        <w:spacing w:before="240" w:line="276" w:lineRule="auto"/>
        <w:rPr>
          <w:rFonts w:ascii="Arial" w:eastAsia="Arial" w:hAnsi="Arial" w:cs="Arial"/>
          <w:sz w:val="24"/>
          <w:szCs w:val="24"/>
        </w:rPr>
      </w:pPr>
    </w:p>
    <w:p w:rsidR="00C025D4" w:rsidRPr="007E1547" w:rsidRDefault="00C025D4" w:rsidP="00C025D4">
      <w:pPr>
        <w:pStyle w:val="ListParagraph"/>
        <w:numPr>
          <w:ilvl w:val="0"/>
          <w:numId w:val="1"/>
        </w:numPr>
        <w:spacing w:before="240" w:line="276" w:lineRule="auto"/>
        <w:jc w:val="both"/>
        <w:rPr>
          <w:rFonts w:ascii="Arial" w:eastAsia="Arial" w:hAnsi="Arial" w:cs="Arial"/>
          <w:sz w:val="24"/>
          <w:szCs w:val="24"/>
        </w:rPr>
      </w:pPr>
      <w:r w:rsidRPr="007E1547">
        <w:rPr>
          <w:rFonts w:ascii="Arial" w:eastAsia="Arial" w:hAnsi="Arial" w:cs="Arial"/>
          <w:sz w:val="24"/>
          <w:szCs w:val="24"/>
        </w:rPr>
        <w:t>An agreement has been concluded between the receiving and seconding department, organ of state, other government or any other body.</w:t>
      </w:r>
    </w:p>
    <w:p w:rsidR="00C025D4" w:rsidRDefault="00C025D4" w:rsidP="00C025D4">
      <w:pPr>
        <w:spacing w:before="240" w:line="276" w:lineRule="auto"/>
        <w:jc w:val="both"/>
        <w:rPr>
          <w:rFonts w:ascii="Arial" w:eastAsia="Arial" w:hAnsi="Arial" w:cs="Arial"/>
          <w:sz w:val="24"/>
          <w:szCs w:val="24"/>
        </w:rPr>
      </w:pPr>
      <w:r w:rsidRPr="004D1CF6">
        <w:rPr>
          <w:rFonts w:ascii="Arial" w:eastAsia="Arial" w:hAnsi="Arial" w:cs="Arial"/>
          <w:sz w:val="24"/>
          <w:szCs w:val="24"/>
        </w:rPr>
        <w:t>The recipient department, organ of state, other government or any other body in terms of section 15 (2)</w:t>
      </w:r>
      <w:r>
        <w:rPr>
          <w:rFonts w:ascii="Arial" w:eastAsia="Arial" w:hAnsi="Arial" w:cs="Arial"/>
          <w:sz w:val="24"/>
          <w:szCs w:val="24"/>
        </w:rPr>
        <w:t xml:space="preserve"> </w:t>
      </w:r>
      <w:r w:rsidRPr="004D1CF6">
        <w:rPr>
          <w:rFonts w:ascii="Arial" w:eastAsia="Arial" w:hAnsi="Arial" w:cs="Arial"/>
          <w:sz w:val="24"/>
          <w:szCs w:val="24"/>
        </w:rPr>
        <w:t>or (3) of the Act shall bear the inclusive costs of secondment, unless the seconding department, organ of state,</w:t>
      </w:r>
      <w:r>
        <w:rPr>
          <w:rFonts w:ascii="Arial" w:eastAsia="Arial" w:hAnsi="Arial" w:cs="Arial"/>
          <w:sz w:val="24"/>
          <w:szCs w:val="24"/>
        </w:rPr>
        <w:t xml:space="preserve"> </w:t>
      </w:r>
      <w:r w:rsidRPr="00561C89">
        <w:rPr>
          <w:rFonts w:ascii="Arial" w:eastAsia="Arial" w:hAnsi="Arial" w:cs="Arial"/>
          <w:sz w:val="24"/>
          <w:szCs w:val="24"/>
        </w:rPr>
        <w:t>other government or any other body agree otherwise.</w:t>
      </w:r>
    </w:p>
    <w:p w:rsidR="00C025D4" w:rsidRPr="003D62F2" w:rsidRDefault="00C025D4" w:rsidP="00C025D4">
      <w:pPr>
        <w:spacing w:before="240" w:line="276" w:lineRule="auto"/>
        <w:jc w:val="both"/>
        <w:rPr>
          <w:rFonts w:ascii="Arial" w:eastAsia="Times New Roman" w:hAnsi="Arial" w:cs="Arial"/>
          <w:sz w:val="24"/>
          <w:szCs w:val="24"/>
        </w:rPr>
      </w:pPr>
      <w:r w:rsidRPr="003D62F2">
        <w:rPr>
          <w:rFonts w:ascii="Arial" w:eastAsia="Arial" w:hAnsi="Arial" w:cs="Arial"/>
          <w:sz w:val="24"/>
          <w:szCs w:val="24"/>
        </w:rPr>
        <w:lastRenderedPageBreak/>
        <w:t xml:space="preserve">Based on the above, the Department of Public Service and Administration (DPSA) </w:t>
      </w:r>
      <w:r w:rsidRPr="003D62F2">
        <w:rPr>
          <w:rFonts w:ascii="Arial" w:eastAsia="Times New Roman" w:hAnsi="Arial" w:cs="Arial"/>
          <w:sz w:val="24"/>
          <w:szCs w:val="24"/>
        </w:rPr>
        <w:t xml:space="preserve">does not have a database of the information as secondments are </w:t>
      </w:r>
      <w:r>
        <w:rPr>
          <w:rFonts w:ascii="Arial" w:eastAsia="Times New Roman" w:hAnsi="Arial" w:cs="Arial"/>
          <w:sz w:val="24"/>
          <w:szCs w:val="24"/>
        </w:rPr>
        <w:t>administered</w:t>
      </w:r>
      <w:r w:rsidRPr="003D62F2">
        <w:rPr>
          <w:rFonts w:ascii="Arial" w:eastAsia="Times New Roman" w:hAnsi="Arial" w:cs="Arial"/>
          <w:sz w:val="24"/>
          <w:szCs w:val="24"/>
        </w:rPr>
        <w:t xml:space="preserve"> by </w:t>
      </w:r>
      <w:r>
        <w:rPr>
          <w:rFonts w:ascii="Arial" w:eastAsia="Times New Roman" w:hAnsi="Arial" w:cs="Arial"/>
          <w:sz w:val="24"/>
          <w:szCs w:val="24"/>
        </w:rPr>
        <w:t>d</w:t>
      </w:r>
      <w:r w:rsidRPr="003D62F2">
        <w:rPr>
          <w:rFonts w:ascii="Arial" w:eastAsia="Times New Roman" w:hAnsi="Arial" w:cs="Arial"/>
          <w:sz w:val="24"/>
          <w:szCs w:val="24"/>
        </w:rPr>
        <w:t>epartments.</w:t>
      </w:r>
      <w:r>
        <w:rPr>
          <w:rFonts w:ascii="Arial" w:eastAsia="Times New Roman" w:hAnsi="Arial" w:cs="Arial"/>
          <w:sz w:val="24"/>
          <w:szCs w:val="24"/>
        </w:rPr>
        <w:t xml:space="preserve"> </w:t>
      </w:r>
      <w:r w:rsidRPr="003D62F2">
        <w:rPr>
          <w:rFonts w:ascii="Arial" w:eastAsia="Times New Roman" w:hAnsi="Arial" w:cs="Arial"/>
          <w:sz w:val="24"/>
          <w:szCs w:val="24"/>
        </w:rPr>
        <w:t xml:space="preserve">Departments only approach the DPSA where they </w:t>
      </w:r>
      <w:r>
        <w:rPr>
          <w:rFonts w:ascii="Arial" w:eastAsia="Times New Roman" w:hAnsi="Arial" w:cs="Arial"/>
          <w:sz w:val="24"/>
          <w:szCs w:val="24"/>
        </w:rPr>
        <w:t>require</w:t>
      </w:r>
      <w:r w:rsidRPr="003D62F2">
        <w:rPr>
          <w:rFonts w:ascii="Arial" w:eastAsia="Times New Roman" w:hAnsi="Arial" w:cs="Arial"/>
          <w:sz w:val="24"/>
          <w:szCs w:val="24"/>
        </w:rPr>
        <w:t xml:space="preserve"> a secondment for a period exceeding 12 calendar months as </w:t>
      </w:r>
      <w:r>
        <w:rPr>
          <w:rFonts w:ascii="Arial" w:eastAsia="Times New Roman" w:hAnsi="Arial" w:cs="Arial"/>
          <w:sz w:val="24"/>
          <w:szCs w:val="24"/>
        </w:rPr>
        <w:t>prescribed i</w:t>
      </w:r>
      <w:r w:rsidRPr="003D62F2">
        <w:rPr>
          <w:rFonts w:ascii="Arial" w:eastAsia="Times New Roman" w:hAnsi="Arial" w:cs="Arial"/>
          <w:sz w:val="24"/>
          <w:szCs w:val="24"/>
        </w:rPr>
        <w:t xml:space="preserve">n </w:t>
      </w:r>
      <w:r>
        <w:rPr>
          <w:rFonts w:ascii="Arial" w:eastAsia="Times New Roman" w:hAnsi="Arial" w:cs="Arial"/>
          <w:sz w:val="24"/>
          <w:szCs w:val="24"/>
        </w:rPr>
        <w:t xml:space="preserve">Regulation </w:t>
      </w:r>
      <w:r w:rsidRPr="003D62F2">
        <w:rPr>
          <w:rFonts w:ascii="Arial" w:eastAsia="Times New Roman" w:hAnsi="Arial" w:cs="Arial"/>
          <w:sz w:val="24"/>
          <w:szCs w:val="24"/>
        </w:rPr>
        <w:t xml:space="preserve">62 (1) (b) of the </w:t>
      </w:r>
      <w:r>
        <w:rPr>
          <w:rFonts w:ascii="Arial" w:eastAsia="Times New Roman" w:hAnsi="Arial" w:cs="Arial"/>
          <w:sz w:val="24"/>
          <w:szCs w:val="24"/>
        </w:rPr>
        <w:t xml:space="preserve">PSR, 2016. </w:t>
      </w:r>
      <w:r w:rsidRPr="003D62F2">
        <w:rPr>
          <w:rFonts w:ascii="Arial" w:eastAsia="Times New Roman" w:hAnsi="Arial" w:cs="Arial"/>
          <w:sz w:val="24"/>
          <w:szCs w:val="24"/>
        </w:rPr>
        <w:t> </w:t>
      </w:r>
    </w:p>
    <w:p w:rsidR="00C025D4" w:rsidRDefault="00C025D4" w:rsidP="00C025D4">
      <w:pPr>
        <w:spacing w:before="240" w:line="276" w:lineRule="auto"/>
        <w:jc w:val="both"/>
        <w:rPr>
          <w:rFonts w:ascii="Arial" w:eastAsia="Times New Roman" w:hAnsi="Arial" w:cs="Arial"/>
          <w:sz w:val="24"/>
          <w:szCs w:val="24"/>
        </w:rPr>
      </w:pPr>
      <w:r>
        <w:rPr>
          <w:rFonts w:ascii="Arial" w:eastAsia="Times New Roman" w:hAnsi="Arial" w:cs="Arial"/>
          <w:sz w:val="24"/>
          <w:szCs w:val="24"/>
        </w:rPr>
        <w:t>Therefore, t</w:t>
      </w:r>
      <w:r w:rsidRPr="003D62F2">
        <w:rPr>
          <w:rFonts w:ascii="Arial" w:eastAsia="Times New Roman" w:hAnsi="Arial" w:cs="Arial"/>
          <w:sz w:val="24"/>
          <w:szCs w:val="24"/>
        </w:rPr>
        <w:t xml:space="preserve">his information must be sourced </w:t>
      </w:r>
      <w:r>
        <w:rPr>
          <w:rFonts w:ascii="Arial" w:eastAsia="Times New Roman" w:hAnsi="Arial" w:cs="Arial"/>
          <w:sz w:val="24"/>
          <w:szCs w:val="24"/>
        </w:rPr>
        <w:t xml:space="preserve">directly </w:t>
      </w:r>
      <w:r w:rsidRPr="003D62F2">
        <w:rPr>
          <w:rFonts w:ascii="Arial" w:eastAsia="Times New Roman" w:hAnsi="Arial" w:cs="Arial"/>
          <w:sz w:val="24"/>
          <w:szCs w:val="24"/>
        </w:rPr>
        <w:t xml:space="preserve">from individual </w:t>
      </w:r>
      <w:r>
        <w:rPr>
          <w:rFonts w:ascii="Arial" w:eastAsia="Times New Roman" w:hAnsi="Arial" w:cs="Arial"/>
          <w:sz w:val="24"/>
          <w:szCs w:val="24"/>
        </w:rPr>
        <w:t>d</w:t>
      </w:r>
      <w:r w:rsidRPr="003D62F2">
        <w:rPr>
          <w:rFonts w:ascii="Arial" w:eastAsia="Times New Roman" w:hAnsi="Arial" w:cs="Arial"/>
          <w:sz w:val="24"/>
          <w:szCs w:val="24"/>
        </w:rPr>
        <w:t xml:space="preserve">epartments </w:t>
      </w:r>
      <w:r>
        <w:rPr>
          <w:rFonts w:ascii="Arial" w:eastAsia="Times New Roman" w:hAnsi="Arial" w:cs="Arial"/>
          <w:sz w:val="24"/>
          <w:szCs w:val="24"/>
        </w:rPr>
        <w:t xml:space="preserve">as the information </w:t>
      </w:r>
      <w:r w:rsidRPr="003D62F2">
        <w:rPr>
          <w:rFonts w:ascii="Arial" w:eastAsia="Times New Roman" w:hAnsi="Arial" w:cs="Arial"/>
          <w:sz w:val="24"/>
          <w:szCs w:val="24"/>
        </w:rPr>
        <w:t xml:space="preserve">is not captured on </w:t>
      </w:r>
      <w:r>
        <w:rPr>
          <w:rFonts w:ascii="Arial" w:eastAsia="Times New Roman" w:hAnsi="Arial" w:cs="Arial"/>
          <w:sz w:val="24"/>
          <w:szCs w:val="24"/>
        </w:rPr>
        <w:t xml:space="preserve">the </w:t>
      </w:r>
      <w:r w:rsidRPr="003D62F2">
        <w:rPr>
          <w:rFonts w:ascii="Arial" w:eastAsia="Times New Roman" w:hAnsi="Arial" w:cs="Arial"/>
          <w:sz w:val="24"/>
          <w:szCs w:val="24"/>
        </w:rPr>
        <w:t>PERSAL</w:t>
      </w:r>
      <w:r>
        <w:rPr>
          <w:rFonts w:ascii="Arial" w:eastAsia="Times New Roman" w:hAnsi="Arial" w:cs="Arial"/>
          <w:sz w:val="24"/>
          <w:szCs w:val="24"/>
        </w:rPr>
        <w:t xml:space="preserve"> system</w:t>
      </w:r>
      <w:r w:rsidRPr="003D62F2">
        <w:rPr>
          <w:rFonts w:ascii="Arial" w:eastAsia="Times New Roman" w:hAnsi="Arial" w:cs="Arial"/>
          <w:sz w:val="24"/>
          <w:szCs w:val="24"/>
        </w:rPr>
        <w:t>. </w:t>
      </w:r>
    </w:p>
    <w:p w:rsidR="00C025D4" w:rsidRDefault="00C025D4" w:rsidP="00C025D4">
      <w:pPr>
        <w:spacing w:before="240" w:line="276" w:lineRule="auto"/>
        <w:jc w:val="both"/>
        <w:rPr>
          <w:rFonts w:ascii="Arial" w:eastAsia="Times New Roman" w:hAnsi="Arial" w:cs="Arial"/>
          <w:sz w:val="24"/>
          <w:szCs w:val="24"/>
        </w:rPr>
      </w:pPr>
    </w:p>
    <w:p w:rsidR="00C025D4" w:rsidRPr="003D62F2" w:rsidRDefault="00C025D4" w:rsidP="00C025D4">
      <w:pPr>
        <w:spacing w:before="240" w:line="276" w:lineRule="auto"/>
        <w:jc w:val="both"/>
        <w:rPr>
          <w:rFonts w:ascii="Arial" w:eastAsia="Times New Roman" w:hAnsi="Arial" w:cs="Arial"/>
          <w:sz w:val="24"/>
          <w:szCs w:val="24"/>
        </w:rPr>
      </w:pPr>
      <w:r w:rsidRPr="0030663A">
        <w:rPr>
          <w:rFonts w:ascii="Arial" w:hAnsi="Arial" w:cs="Arial"/>
          <w:b/>
          <w:bCs/>
          <w:sz w:val="24"/>
          <w:szCs w:val="24"/>
          <w:lang w:val="en-GB"/>
        </w:rPr>
        <w:t>(c)</w:t>
      </w:r>
      <w:r w:rsidRPr="00533000">
        <w:rPr>
          <w:rFonts w:ascii="Arial" w:hAnsi="Arial" w:cs="Arial"/>
          <w:sz w:val="24"/>
          <w:szCs w:val="24"/>
          <w:lang w:val="en-GB"/>
        </w:rPr>
        <w:t xml:space="preserve"> </w:t>
      </w:r>
      <w:r>
        <w:rPr>
          <w:rFonts w:ascii="Arial" w:hAnsi="Arial" w:cs="Arial"/>
          <w:sz w:val="24"/>
          <w:szCs w:val="24"/>
          <w:lang w:val="en-GB"/>
        </w:rPr>
        <w:t xml:space="preserve">Through the National Treasury’s </w:t>
      </w:r>
      <w:r w:rsidRPr="007E088D">
        <w:rPr>
          <w:rFonts w:ascii="Arial" w:hAnsi="Arial" w:cs="Arial"/>
          <w:b/>
          <w:bCs/>
          <w:sz w:val="24"/>
          <w:szCs w:val="24"/>
          <w:lang w:val="en-GB"/>
        </w:rPr>
        <w:t>General Conditions of Contract (GCC)</w:t>
      </w:r>
      <w:r>
        <w:rPr>
          <w:rFonts w:ascii="Arial" w:hAnsi="Arial" w:cs="Arial"/>
          <w:sz w:val="24"/>
          <w:szCs w:val="24"/>
          <w:lang w:val="en-GB"/>
        </w:rPr>
        <w:t xml:space="preserve"> </w:t>
      </w:r>
      <w:r>
        <w:rPr>
          <w:rFonts w:ascii="Arial" w:eastAsia="Times New Roman" w:hAnsi="Arial" w:cs="Arial"/>
          <w:b/>
          <w:bCs/>
          <w:sz w:val="24"/>
          <w:szCs w:val="24"/>
        </w:rPr>
        <w:t xml:space="preserve">and </w:t>
      </w:r>
      <w:r w:rsidRPr="007E088D">
        <w:rPr>
          <w:rFonts w:ascii="Arial" w:eastAsia="Times New Roman" w:hAnsi="Arial" w:cs="Arial"/>
          <w:b/>
          <w:bCs/>
          <w:sz w:val="24"/>
          <w:szCs w:val="24"/>
        </w:rPr>
        <w:t>Supply Chain Management: A Guide for Accounting Officers</w:t>
      </w:r>
      <w:r>
        <w:rPr>
          <w:rFonts w:ascii="Arial" w:eastAsia="Times New Roman" w:hAnsi="Arial" w:cs="Arial"/>
          <w:b/>
          <w:bCs/>
          <w:sz w:val="24"/>
          <w:szCs w:val="24"/>
        </w:rPr>
        <w:t>,</w:t>
      </w:r>
      <w:r w:rsidRPr="007E088D">
        <w:rPr>
          <w:rFonts w:ascii="Arial" w:eastAsia="Times New Roman" w:hAnsi="Arial" w:cs="Arial"/>
          <w:sz w:val="24"/>
          <w:szCs w:val="24"/>
        </w:rPr>
        <w:t xml:space="preserve"> </w:t>
      </w:r>
      <w:r>
        <w:rPr>
          <w:rFonts w:ascii="Arial" w:eastAsia="Times New Roman" w:hAnsi="Arial" w:cs="Arial"/>
          <w:sz w:val="24"/>
          <w:szCs w:val="24"/>
        </w:rPr>
        <w:t xml:space="preserve">guidance is provided to departments on the management of risks and associated </w:t>
      </w:r>
      <w:r w:rsidRPr="007E088D">
        <w:rPr>
          <w:rFonts w:ascii="Arial" w:eastAsia="Times New Roman" w:hAnsi="Arial" w:cs="Arial"/>
          <w:sz w:val="24"/>
          <w:szCs w:val="24"/>
        </w:rPr>
        <w:t xml:space="preserve">conflict of interest </w:t>
      </w:r>
      <w:r>
        <w:rPr>
          <w:rFonts w:ascii="Arial" w:eastAsia="Times New Roman" w:hAnsi="Arial" w:cs="Arial"/>
          <w:sz w:val="24"/>
          <w:szCs w:val="24"/>
        </w:rPr>
        <w:t xml:space="preserve">from service providers. The relevant Treasury and each accounting officer may be approached to provide detailed information in response to this question. </w:t>
      </w:r>
    </w:p>
    <w:p w:rsidR="007321D1" w:rsidRDefault="00C025D4">
      <w:r>
        <w:t xml:space="preserve">End </w:t>
      </w:r>
    </w:p>
    <w:sectPr w:rsidR="007321D1" w:rsidSect="00E000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34A0A"/>
    <w:multiLevelType w:val="hybridMultilevel"/>
    <w:tmpl w:val="43F8E80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025D4"/>
    <w:rsid w:val="00340AFB"/>
    <w:rsid w:val="007321D1"/>
    <w:rsid w:val="008A5AF6"/>
    <w:rsid w:val="00C025D4"/>
    <w:rsid w:val="00E000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D4"/>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D4"/>
    <w:pPr>
      <w:ind w:left="720"/>
      <w:contextualSpacing/>
    </w:pPr>
    <w:rPr>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Company>Toshiba</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2023-07-19T10:20:00Z</dcterms:created>
  <dcterms:modified xsi:type="dcterms:W3CDTF">2023-07-19T10:20:00Z</dcterms:modified>
</cp:coreProperties>
</file>