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B0625F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NATIONAL ASSEMBLY</w:t>
      </w:r>
    </w:p>
    <w:p w:rsidR="00D33C41" w:rsidRPr="00B0625F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QUESTION FOR </w:t>
      </w:r>
      <w:r w:rsidR="00900B91" w:rsidRPr="00B0625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>WRITTEN</w:t>
      </w:r>
      <w:r w:rsidR="00D33C41" w:rsidRPr="00B0625F">
        <w:rPr>
          <w:rFonts w:ascii="Arial" w:eastAsia="Times New Roman" w:hAnsi="Arial" w:cs="Arial"/>
          <w:b/>
          <w:snapToGrid w:val="0"/>
          <w:color w:val="000000"/>
          <w:sz w:val="24"/>
          <w:szCs w:val="40"/>
          <w:lang w:val="en-GB"/>
        </w:rPr>
        <w:t xml:space="preserve"> REPLY</w:t>
      </w:r>
    </w:p>
    <w:p w:rsidR="00D33C41" w:rsidRPr="00B0625F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0625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QUESTION NUMBER:</w:t>
      </w:r>
      <w:r w:rsidR="00E556BF" w:rsidRPr="00B0625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</w:t>
      </w:r>
      <w:r w:rsidRPr="00B0625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ab/>
      </w:r>
      <w:r w:rsidR="005E78B8" w:rsidRPr="00B0625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251</w:t>
      </w:r>
    </w:p>
    <w:p w:rsidR="00D33C41" w:rsidRPr="00B0625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0625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DATE OF PUBLICATION IN INTERNAL QUESTION PAPER: </w:t>
      </w:r>
      <w:r w:rsidR="005E78B8" w:rsidRPr="00B0625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17</w:t>
      </w:r>
      <w:r w:rsidR="00B2306F" w:rsidRPr="00B0625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FEBRUARY 2023</w:t>
      </w:r>
    </w:p>
    <w:p w:rsidR="00D33C41" w:rsidRPr="00B0625F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</w:pPr>
      <w:r w:rsidRPr="00B0625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INTERNAL QUESTION PAPER NUMBER: </w:t>
      </w:r>
      <w:r w:rsidR="005E78B8" w:rsidRPr="00B0625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2</w:t>
      </w:r>
      <w:r w:rsidR="009E7540" w:rsidRPr="00B0625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 xml:space="preserve"> - 202</w:t>
      </w:r>
      <w:r w:rsidR="00B2306F" w:rsidRPr="00B0625F">
        <w:rPr>
          <w:rFonts w:ascii="Arial" w:eastAsia="Times New Roman" w:hAnsi="Arial" w:cs="Arial"/>
          <w:b/>
          <w:snapToGrid w:val="0"/>
          <w:sz w:val="24"/>
          <w:szCs w:val="40"/>
          <w:lang w:val="en-GB"/>
        </w:rPr>
        <w:t>3</w:t>
      </w:r>
    </w:p>
    <w:p w:rsidR="005E78B8" w:rsidRPr="00B0625F" w:rsidRDefault="005E78B8" w:rsidP="005E78B8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0625F">
        <w:rPr>
          <w:rFonts w:ascii="Arial" w:hAnsi="Arial" w:cs="Arial"/>
          <w:b/>
          <w:sz w:val="24"/>
          <w:szCs w:val="24"/>
        </w:rPr>
        <w:t>251.</w:t>
      </w:r>
      <w:r w:rsidRPr="00B0625F">
        <w:rPr>
          <w:rFonts w:ascii="Arial" w:hAnsi="Arial" w:cs="Arial"/>
          <w:b/>
          <w:sz w:val="24"/>
          <w:szCs w:val="24"/>
        </w:rPr>
        <w:tab/>
        <w:t>Ms B S Masango (DA) to ask the Minister of Social Development</w:t>
      </w:r>
      <w:r w:rsidR="00BF6B2A" w:rsidRPr="00B0625F">
        <w:rPr>
          <w:rFonts w:ascii="Arial" w:hAnsi="Arial" w:cs="Arial"/>
          <w:b/>
          <w:sz w:val="24"/>
          <w:szCs w:val="24"/>
        </w:rPr>
        <w:fldChar w:fldCharType="begin"/>
      </w:r>
      <w:r w:rsidRPr="00B0625F">
        <w:rPr>
          <w:rFonts w:ascii="Arial" w:hAnsi="Arial" w:cs="Arial"/>
          <w:sz w:val="24"/>
          <w:szCs w:val="24"/>
        </w:rPr>
        <w:instrText xml:space="preserve"> XE "</w:instrText>
      </w:r>
      <w:r w:rsidRPr="00B0625F">
        <w:rPr>
          <w:rFonts w:ascii="Arial" w:hAnsi="Arial" w:cs="Arial"/>
          <w:b/>
          <w:sz w:val="24"/>
          <w:szCs w:val="24"/>
        </w:rPr>
        <w:instrText>Minister</w:instrText>
      </w:r>
      <w:r w:rsidRPr="00B0625F">
        <w:rPr>
          <w:rFonts w:ascii="Arial" w:hAnsi="Arial" w:cs="Arial"/>
          <w:b/>
          <w:bCs/>
          <w:sz w:val="24"/>
          <w:szCs w:val="24"/>
          <w:lang w:val="en-US"/>
        </w:rPr>
        <w:instrText xml:space="preserve"> of Social Development</w:instrText>
      </w:r>
      <w:r w:rsidRPr="00B0625F">
        <w:rPr>
          <w:rFonts w:ascii="Arial" w:hAnsi="Arial" w:cs="Arial"/>
          <w:sz w:val="24"/>
          <w:szCs w:val="24"/>
        </w:rPr>
        <w:instrText xml:space="preserve">" </w:instrText>
      </w:r>
      <w:r w:rsidR="00BF6B2A" w:rsidRPr="00B0625F">
        <w:rPr>
          <w:rFonts w:ascii="Arial" w:hAnsi="Arial" w:cs="Arial"/>
          <w:b/>
          <w:sz w:val="24"/>
          <w:szCs w:val="24"/>
        </w:rPr>
        <w:fldChar w:fldCharType="end"/>
      </w:r>
      <w:r w:rsidRPr="00B0625F">
        <w:rPr>
          <w:rFonts w:ascii="Arial" w:hAnsi="Arial" w:cs="Arial"/>
          <w:b/>
          <w:sz w:val="24"/>
          <w:szCs w:val="24"/>
        </w:rPr>
        <w:t>:</w:t>
      </w:r>
    </w:p>
    <w:p w:rsidR="005E78B8" w:rsidRPr="00B0625F" w:rsidRDefault="005E78B8" w:rsidP="005E78B8">
      <w:pPr>
        <w:pStyle w:val="BodyText"/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  <w:r w:rsidRPr="00B0625F">
        <w:rPr>
          <w:rFonts w:ascii="Arial" w:hAnsi="Arial" w:cs="Arial"/>
          <w:sz w:val="24"/>
          <w:szCs w:val="24"/>
        </w:rPr>
        <w:t xml:space="preserve">(a) Which SA Social Security Agency grant types had payment problems in each month since January 2020 up to the latest </w:t>
      </w:r>
      <w:r w:rsidRPr="00B0625F">
        <w:rPr>
          <w:rFonts w:ascii="Arial" w:hAnsi="Arial" w:cs="Arial"/>
          <w:bCs/>
          <w:sz w:val="24"/>
          <w:szCs w:val="24"/>
        </w:rPr>
        <w:t>specified</w:t>
      </w:r>
      <w:r w:rsidRPr="00B0625F">
        <w:rPr>
          <w:rFonts w:ascii="Arial" w:hAnsi="Arial" w:cs="Arial"/>
          <w:sz w:val="24"/>
          <w:szCs w:val="24"/>
        </w:rPr>
        <w:t xml:space="preserve"> date for which information is available, (b) what caused the payment problems in each case and (c) on what dates did the affected beneficiaries receive their outstanding payments?</w:t>
      </w:r>
      <w:r w:rsidRPr="00B0625F">
        <w:rPr>
          <w:rFonts w:ascii="Arial" w:hAnsi="Arial" w:cs="Arial"/>
          <w:sz w:val="24"/>
          <w:szCs w:val="24"/>
        </w:rPr>
        <w:tab/>
      </w:r>
      <w:r w:rsidRPr="00B0625F">
        <w:rPr>
          <w:rFonts w:ascii="Arial" w:hAnsi="Arial" w:cs="Arial"/>
          <w:sz w:val="24"/>
          <w:szCs w:val="24"/>
        </w:rPr>
        <w:tab/>
      </w:r>
      <w:r w:rsidRPr="00B0625F">
        <w:rPr>
          <w:rFonts w:ascii="Arial" w:hAnsi="Arial" w:cs="Arial"/>
          <w:sz w:val="24"/>
          <w:szCs w:val="24"/>
        </w:rPr>
        <w:tab/>
      </w:r>
      <w:r w:rsidRPr="00B0625F">
        <w:rPr>
          <w:rFonts w:ascii="Arial" w:hAnsi="Arial" w:cs="Arial"/>
          <w:sz w:val="24"/>
          <w:szCs w:val="24"/>
        </w:rPr>
        <w:tab/>
      </w:r>
      <w:r w:rsidRPr="00B0625F">
        <w:rPr>
          <w:rFonts w:ascii="Arial" w:hAnsi="Arial" w:cs="Arial"/>
          <w:sz w:val="24"/>
          <w:szCs w:val="24"/>
        </w:rPr>
        <w:tab/>
      </w:r>
      <w:r w:rsidRPr="00B0625F">
        <w:rPr>
          <w:rFonts w:ascii="Arial" w:hAnsi="Arial" w:cs="Arial"/>
          <w:sz w:val="24"/>
          <w:szCs w:val="24"/>
        </w:rPr>
        <w:tab/>
        <w:t>NW255E</w:t>
      </w:r>
    </w:p>
    <w:p w:rsidR="005E78B8" w:rsidRPr="00B0625F" w:rsidRDefault="005E78B8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774E1" w:rsidRPr="00B0625F" w:rsidRDefault="00F774E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19197B" w:rsidRPr="00B0625F" w:rsidRDefault="0019197B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B0625F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F774E1" w:rsidRPr="00B0625F" w:rsidRDefault="00F774E1" w:rsidP="00F774E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774E1" w:rsidRPr="00B0625F" w:rsidRDefault="00F774E1" w:rsidP="00F774E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B0625F">
        <w:rPr>
          <w:rFonts w:ascii="Arial" w:hAnsi="Arial" w:cs="Arial"/>
          <w:color w:val="000000"/>
          <w:sz w:val="24"/>
          <w:szCs w:val="24"/>
          <w:lang w:val="en-US"/>
        </w:rPr>
        <w:t xml:space="preserve">The SA Social Security Agency provides </w:t>
      </w:r>
      <w:r w:rsidR="003F59C2" w:rsidRPr="00B0625F">
        <w:rPr>
          <w:rFonts w:ascii="Arial" w:hAnsi="Arial" w:cs="Arial"/>
          <w:color w:val="000000"/>
          <w:sz w:val="24"/>
          <w:szCs w:val="24"/>
          <w:lang w:val="en-US"/>
        </w:rPr>
        <w:t xml:space="preserve">social assistance </w:t>
      </w:r>
      <w:r w:rsidRPr="00B0625F">
        <w:rPr>
          <w:rFonts w:ascii="Arial" w:hAnsi="Arial" w:cs="Arial"/>
          <w:color w:val="000000"/>
          <w:sz w:val="24"/>
          <w:szCs w:val="24"/>
          <w:lang w:val="en-US"/>
        </w:rPr>
        <w:t>in the form of social grants (</w:t>
      </w:r>
      <w:r w:rsidR="003F59C2" w:rsidRPr="00B0625F">
        <w:rPr>
          <w:rFonts w:ascii="Arial" w:hAnsi="Arial" w:cs="Arial"/>
          <w:color w:val="000000"/>
          <w:sz w:val="24"/>
          <w:szCs w:val="24"/>
          <w:lang w:val="en-US"/>
        </w:rPr>
        <w:t xml:space="preserve">namely: </w:t>
      </w:r>
      <w:r w:rsidR="003E5273" w:rsidRPr="00B0625F">
        <w:rPr>
          <w:rFonts w:ascii="Arial" w:hAnsi="Arial" w:cs="Arial"/>
          <w:color w:val="000000"/>
          <w:sz w:val="24"/>
          <w:szCs w:val="24"/>
          <w:lang w:val="en-US"/>
        </w:rPr>
        <w:t xml:space="preserve">Grant in Aid, </w:t>
      </w:r>
      <w:r w:rsidRPr="00B0625F">
        <w:rPr>
          <w:rFonts w:ascii="Arial" w:hAnsi="Arial" w:cs="Arial"/>
          <w:color w:val="000000"/>
          <w:sz w:val="24"/>
          <w:szCs w:val="24"/>
          <w:lang w:val="en-US"/>
        </w:rPr>
        <w:t>Old</w:t>
      </w:r>
      <w:r w:rsidR="003F59C2" w:rsidRPr="00B0625F">
        <w:rPr>
          <w:rFonts w:ascii="Arial" w:hAnsi="Arial" w:cs="Arial"/>
          <w:color w:val="000000"/>
          <w:sz w:val="24"/>
          <w:szCs w:val="24"/>
          <w:lang w:val="en-US"/>
        </w:rPr>
        <w:t>er Persons;</w:t>
      </w:r>
      <w:r w:rsidR="003E5273" w:rsidRPr="00B0625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B0625F">
        <w:rPr>
          <w:rFonts w:ascii="Arial" w:hAnsi="Arial" w:cs="Arial"/>
          <w:color w:val="000000"/>
          <w:sz w:val="24"/>
          <w:szCs w:val="24"/>
          <w:lang w:val="en-US"/>
        </w:rPr>
        <w:t>War Veteran</w:t>
      </w:r>
      <w:r w:rsidR="003F59C2" w:rsidRPr="00B0625F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B0625F">
        <w:rPr>
          <w:rFonts w:ascii="Arial" w:hAnsi="Arial" w:cs="Arial"/>
          <w:color w:val="000000"/>
          <w:sz w:val="24"/>
          <w:szCs w:val="24"/>
          <w:lang w:val="en-US"/>
        </w:rPr>
        <w:t xml:space="preserve">, Disability, </w:t>
      </w:r>
      <w:r w:rsidR="003F59C2" w:rsidRPr="00B0625F">
        <w:rPr>
          <w:rFonts w:ascii="Arial" w:hAnsi="Arial" w:cs="Arial"/>
          <w:color w:val="000000"/>
          <w:sz w:val="24"/>
          <w:szCs w:val="24"/>
          <w:lang w:val="en-US"/>
        </w:rPr>
        <w:t>Child Support, Foster Child</w:t>
      </w:r>
      <w:r w:rsidR="003E5273" w:rsidRPr="00B0625F">
        <w:rPr>
          <w:rFonts w:ascii="Arial" w:hAnsi="Arial" w:cs="Arial"/>
          <w:color w:val="000000"/>
          <w:sz w:val="24"/>
          <w:szCs w:val="24"/>
          <w:lang w:val="en-US"/>
        </w:rPr>
        <w:t xml:space="preserve"> and </w:t>
      </w:r>
      <w:r w:rsidR="003F59C2" w:rsidRPr="00B0625F">
        <w:rPr>
          <w:rFonts w:ascii="Arial" w:hAnsi="Arial" w:cs="Arial"/>
          <w:color w:val="000000"/>
          <w:sz w:val="24"/>
          <w:szCs w:val="24"/>
          <w:lang w:val="en-US"/>
        </w:rPr>
        <w:t xml:space="preserve">Care Dependency </w:t>
      </w:r>
      <w:r w:rsidR="003E5273" w:rsidRPr="00B0625F">
        <w:rPr>
          <w:rFonts w:ascii="Arial" w:hAnsi="Arial" w:cs="Arial"/>
          <w:color w:val="000000"/>
          <w:sz w:val="24"/>
          <w:szCs w:val="24"/>
          <w:lang w:val="en-US"/>
        </w:rPr>
        <w:t>Grant</w:t>
      </w:r>
      <w:r w:rsidR="003F59C2" w:rsidRPr="00B0625F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="003E5273" w:rsidRPr="00B0625F">
        <w:rPr>
          <w:rFonts w:ascii="Arial" w:hAnsi="Arial" w:cs="Arial"/>
          <w:color w:val="000000"/>
          <w:sz w:val="24"/>
          <w:szCs w:val="24"/>
          <w:lang w:val="en-US"/>
        </w:rPr>
        <w:t xml:space="preserve"> as well as </w:t>
      </w:r>
      <w:r w:rsidR="003F59C2" w:rsidRPr="00B0625F">
        <w:rPr>
          <w:rFonts w:ascii="Arial" w:hAnsi="Arial" w:cs="Arial"/>
          <w:color w:val="000000"/>
          <w:sz w:val="24"/>
          <w:szCs w:val="24"/>
          <w:lang w:val="en-US"/>
        </w:rPr>
        <w:t xml:space="preserve">Social Relief of Distress for disasters and the COVID-19 </w:t>
      </w:r>
      <w:r w:rsidRPr="00B0625F">
        <w:rPr>
          <w:rFonts w:ascii="Arial" w:hAnsi="Arial" w:cs="Arial"/>
          <w:color w:val="000000"/>
          <w:sz w:val="24"/>
          <w:szCs w:val="24"/>
          <w:lang w:val="en-US"/>
        </w:rPr>
        <w:t>SRD.</w:t>
      </w:r>
    </w:p>
    <w:p w:rsidR="00F774E1" w:rsidRPr="00B0625F" w:rsidRDefault="00F774E1" w:rsidP="00F774E1">
      <w:p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774E1" w:rsidRPr="00B0625F" w:rsidRDefault="00F774E1" w:rsidP="000F3CB1">
      <w:pPr>
        <w:pStyle w:val="ListParagraph"/>
        <w:numPr>
          <w:ilvl w:val="0"/>
          <w:numId w:val="27"/>
        </w:numPr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Social Grants</w:t>
      </w:r>
    </w:p>
    <w:p w:rsidR="00F774E1" w:rsidRPr="00B0625F" w:rsidRDefault="003F59C2" w:rsidP="00364F7D">
      <w:pPr>
        <w:pStyle w:val="ListParagraph"/>
        <w:ind w:left="113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No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payment issues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were encountered 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since January 2020, except for </w:t>
      </w:r>
      <w:r w:rsidR="004F56E5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an 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incident </w:t>
      </w:r>
      <w:r w:rsidR="004F56E5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of duplicate payments 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that occurred in May 2020</w:t>
      </w:r>
      <w:r w:rsidR="00364F7D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in the Free State and KwaZulu-Natal region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. It’s important to note that social grants are deemed to be paid once SASSA transfers the </w:t>
      </w:r>
      <w:r w:rsidR="0026668F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money 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into </w:t>
      </w:r>
      <w:r w:rsidR="00364F7D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beneficiary’s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accounts.</w:t>
      </w:r>
    </w:p>
    <w:p w:rsidR="00F774E1" w:rsidRPr="00B0625F" w:rsidRDefault="00F774E1" w:rsidP="00F774E1">
      <w:pPr>
        <w:pStyle w:val="ListParagraph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F774E1" w:rsidP="00364F7D">
      <w:pPr>
        <w:ind w:left="1134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lastRenderedPageBreak/>
        <w:t>Status quo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: The </w:t>
      </w:r>
      <w:r w:rsidR="009250E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above-mentioned</w:t>
      </w:r>
      <w:r w:rsidR="00364F7D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error was rectified</w:t>
      </w:r>
      <w:r w:rsidR="0026668F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and beneficiaries were paid later during the expected payment date and any overpayments were fully recovered</w:t>
      </w:r>
      <w:r w:rsidR="0026668F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</w:p>
    <w:p w:rsidR="007416D7" w:rsidRPr="00B0625F" w:rsidRDefault="007416D7" w:rsidP="00F774E1">
      <w:pPr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F774E1" w:rsidP="009250E2">
      <w:pPr>
        <w:pStyle w:val="ListParagraph"/>
        <w:numPr>
          <w:ilvl w:val="0"/>
          <w:numId w:val="18"/>
        </w:numPr>
        <w:tabs>
          <w:tab w:val="left" w:pos="1134"/>
        </w:tabs>
        <w:ind w:left="1134" w:hanging="425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Covid -19 SRD R350</w:t>
      </w:r>
    </w:p>
    <w:p w:rsidR="00F774E1" w:rsidRPr="00B0625F" w:rsidRDefault="0026668F" w:rsidP="00F774E1">
      <w:pPr>
        <w:pStyle w:val="ListParagraph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Following 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announce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ment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by the President on 21 April 2020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the directions to administer the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provision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were 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issued on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0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9 May 2020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for 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immediate implementation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</w:p>
    <w:p w:rsidR="00F774E1" w:rsidRPr="00B0625F" w:rsidRDefault="00F774E1" w:rsidP="00F774E1">
      <w:pPr>
        <w:pStyle w:val="ListParagraph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F774E1" w:rsidP="00F774E1">
      <w:pPr>
        <w:pStyle w:val="ListParagraph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SASSA </w:t>
      </w:r>
      <w:r w:rsidR="0026668F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had to develop </w:t>
      </w:r>
      <w:r w:rsidR="0075331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and implement a new system to accommodate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online digital </w:t>
      </w:r>
      <w:r w:rsidR="0075331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application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platforms</w:t>
      </w:r>
      <w:r w:rsidR="0075331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to administer the new provision.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</w:p>
    <w:p w:rsidR="009250E2" w:rsidRPr="00B0625F" w:rsidRDefault="009250E2" w:rsidP="00F774E1">
      <w:pPr>
        <w:pStyle w:val="ListParagraph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F774E1" w:rsidP="00F774E1">
      <w:pPr>
        <w:pStyle w:val="ListParagraph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SASSA was able to leverage off existing technology investment to provide the solution in time</w:t>
      </w:r>
      <w:r w:rsidR="0075331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75331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 online system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was launched by </w:t>
      </w:r>
      <w:r w:rsidR="00CF7D9C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M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inister on 11 May 2020, with the first payment</w:t>
      </w:r>
      <w:r w:rsidR="0075331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s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effected </w:t>
      </w:r>
      <w:r w:rsidR="0075331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on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15 May 2020.</w:t>
      </w:r>
    </w:p>
    <w:p w:rsidR="00F774E1" w:rsidRPr="00B0625F" w:rsidRDefault="00F774E1" w:rsidP="00F774E1">
      <w:pPr>
        <w:pStyle w:val="ListParagraph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F774E1" w:rsidP="00F774E1">
      <w:pPr>
        <w:pStyle w:val="ListParagraph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Although the above </w:t>
      </w:r>
      <w:r w:rsidR="00CF7D9C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mechanisms</w:t>
      </w:r>
      <w:r w:rsidR="0075331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w</w:t>
      </w:r>
      <w:r w:rsidR="00CF7D9C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ere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in place there were external enablers to make the solution work from end</w:t>
      </w:r>
      <w:r w:rsidR="00CF7D9C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-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to</w:t>
      </w:r>
      <w:r w:rsidR="00CF7D9C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-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end as discussed below:</w:t>
      </w:r>
    </w:p>
    <w:p w:rsidR="00F774E1" w:rsidRPr="00B0625F" w:rsidRDefault="00F774E1" w:rsidP="00F774E1">
      <w:pPr>
        <w:pStyle w:val="ListParagraph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F774E1" w:rsidP="009250E2">
      <w:pPr>
        <w:pStyle w:val="ListParagraph"/>
        <w:numPr>
          <w:ilvl w:val="0"/>
          <w:numId w:val="22"/>
        </w:numPr>
        <w:tabs>
          <w:tab w:val="left" w:pos="1276"/>
        </w:tabs>
        <w:ind w:left="1418" w:hanging="284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Databases from external entities for verification processes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: </w:t>
      </w:r>
    </w:p>
    <w:p w:rsidR="00F774E1" w:rsidRPr="00B0625F" w:rsidRDefault="00F774E1" w:rsidP="00F774E1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F774E1" w:rsidP="009250E2">
      <w:pPr>
        <w:pStyle w:val="ListParagraph"/>
        <w:ind w:left="1418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Across all iterations of the administration of the grant, SASSA has been experiencing challenges in sourcing data</w:t>
      </w:r>
      <w:r w:rsidR="00CF7D9C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as well as sourcing </w:t>
      </w:r>
      <w:r w:rsidR="0075331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updated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data, which </w:t>
      </w:r>
      <w:r w:rsidR="0075331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has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led to </w:t>
      </w:r>
      <w:r w:rsidRPr="00B0625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late payments, inclusion and exclusion errors as well as audit findings.</w:t>
      </w:r>
    </w:p>
    <w:p w:rsidR="00F774E1" w:rsidRPr="00B0625F" w:rsidRDefault="00F774E1" w:rsidP="00F774E1">
      <w:pPr>
        <w:pStyle w:val="ListParagraph"/>
        <w:ind w:left="1418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774E1" w:rsidRPr="00B0625F" w:rsidRDefault="00F774E1" w:rsidP="009250E2">
      <w:pPr>
        <w:pStyle w:val="ListParagraph"/>
        <w:ind w:left="141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Status quo: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SASSA still continues to engage </w:t>
      </w:r>
      <w:r w:rsidR="00BD4CA6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with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stakeholders on this matter</w:t>
      </w:r>
      <w:r w:rsidR="00CF7D9C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CF7D9C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H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owever</w:t>
      </w:r>
      <w:r w:rsidR="00CF7D9C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to eliminate late payments</w:t>
      </w:r>
      <w:r w:rsidR="00CF7D9C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an internal control process </w:t>
      </w:r>
      <w:r w:rsidR="00BD4CA6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was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implemented</w:t>
      </w:r>
      <w:r w:rsidR="00364F7D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="00BD4CA6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which uses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the </w:t>
      </w:r>
      <w:r w:rsidR="00BD4CA6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latest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available data to enable timeous payments</w:t>
      </w:r>
      <w:r w:rsidR="00BD4CA6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</w:p>
    <w:p w:rsidR="00F774E1" w:rsidRPr="00B0625F" w:rsidRDefault="00F774E1" w:rsidP="00F774E1">
      <w:pPr>
        <w:pStyle w:val="ListParagraph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9250E2" w:rsidP="009250E2">
      <w:pPr>
        <w:pStyle w:val="ListParagraph"/>
        <w:numPr>
          <w:ilvl w:val="0"/>
          <w:numId w:val="22"/>
        </w:numPr>
        <w:tabs>
          <w:tab w:val="left" w:pos="1418"/>
        </w:tabs>
        <w:ind w:left="1134" w:firstLine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 </w:t>
      </w:r>
      <w:r w:rsidR="00F774E1"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Accounts Verification Services (AVS)</w:t>
      </w:r>
    </w:p>
    <w:p w:rsidR="00F774E1" w:rsidRPr="00B0625F" w:rsidRDefault="00F774E1" w:rsidP="00F774E1">
      <w:pPr>
        <w:pStyle w:val="ListParagraph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774E1" w:rsidRPr="00B0625F" w:rsidRDefault="00F774E1" w:rsidP="009250E2">
      <w:pPr>
        <w:pStyle w:val="ListParagraph"/>
        <w:ind w:left="127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During the </w:t>
      </w:r>
      <w:r w:rsidR="002C573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first iteration of the </w:t>
      </w:r>
      <w:r w:rsidR="000D649C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provision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, </w:t>
      </w:r>
      <w:r w:rsidR="00EB1A0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there were delays in receiving bank account bank accounts verification which ultimately delayed payment to beneficiaries.</w:t>
      </w:r>
    </w:p>
    <w:p w:rsidR="00F774E1" w:rsidRPr="00B0625F" w:rsidRDefault="00F774E1" w:rsidP="00F774E1">
      <w:pPr>
        <w:pStyle w:val="ListParagraph"/>
        <w:ind w:left="141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F774E1" w:rsidP="003E5273">
      <w:pPr>
        <w:pStyle w:val="ListParagraph"/>
        <w:ind w:left="1276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Status quo: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4C27DA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Improvements were made during </w:t>
      </w:r>
      <w:r w:rsidR="00641606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subsequent iteration of the grant</w:t>
      </w:r>
      <w:r w:rsidR="009250E2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="00641606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and </w:t>
      </w:r>
      <w:r w:rsidR="00F76C0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it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can be reported </w:t>
      </w:r>
      <w:r w:rsidR="00F76C0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that the function </w:t>
      </w:r>
      <w:r w:rsidR="00852A67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has now stabilised.</w:t>
      </w:r>
    </w:p>
    <w:p w:rsidR="00F774E1" w:rsidRPr="00B0625F" w:rsidRDefault="00F774E1" w:rsidP="00F774E1">
      <w:pPr>
        <w:pStyle w:val="ListParagraph"/>
        <w:jc w:val="both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250E2">
      <w:pPr>
        <w:pStyle w:val="ListParagraph"/>
        <w:numPr>
          <w:ilvl w:val="0"/>
          <w:numId w:val="22"/>
        </w:numPr>
        <w:ind w:left="1276" w:hanging="142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Payments and Disbursement Processes</w:t>
      </w:r>
    </w:p>
    <w:p w:rsidR="00F774E1" w:rsidRPr="00B0625F" w:rsidRDefault="00F774E1" w:rsidP="00F774E1">
      <w:pPr>
        <w:pStyle w:val="ListParagraph"/>
        <w:jc w:val="both"/>
        <w:rPr>
          <w:rFonts w:ascii="Arial" w:eastAsia="Times New Roman" w:hAnsi="Arial" w:cs="Arial"/>
          <w:b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250E2">
      <w:pPr>
        <w:pStyle w:val="ListParagraph"/>
        <w:numPr>
          <w:ilvl w:val="0"/>
          <w:numId w:val="21"/>
        </w:numPr>
        <w:ind w:left="1701" w:hanging="567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  <w:t xml:space="preserve">Beneficiary payment detail challenges such as: </w:t>
      </w:r>
    </w:p>
    <w:p w:rsidR="00F774E1" w:rsidRPr="00B0625F" w:rsidRDefault="00EE76F9" w:rsidP="009250E2">
      <w:pPr>
        <w:pStyle w:val="ListParagraph"/>
        <w:numPr>
          <w:ilvl w:val="1"/>
          <w:numId w:val="23"/>
        </w:numPr>
        <w:ind w:left="2268" w:hanging="567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Omission</w:t>
      </w:r>
      <w:r w:rsidR="00B61892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of </w:t>
      </w:r>
      <w:r w:rsidR="00F774E1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payment method details by the client at time of application. This requires the client to upload payment details.</w:t>
      </w:r>
    </w:p>
    <w:p w:rsidR="009250E2" w:rsidRPr="00B0625F" w:rsidRDefault="009250E2" w:rsidP="009250E2">
      <w:pPr>
        <w:pStyle w:val="ListParagraph"/>
        <w:ind w:left="2268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250E2">
      <w:pPr>
        <w:pStyle w:val="ListParagraph"/>
        <w:numPr>
          <w:ilvl w:val="1"/>
          <w:numId w:val="23"/>
        </w:numPr>
        <w:ind w:left="2268" w:hanging="567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Payment method failed the account verification process.  This could be due to incorrect account details or </w:t>
      </w:r>
      <w:r w:rsidR="009250E2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because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the account does not belong directly to the client. This requires the client to either correct their details or supply a new payment method.</w:t>
      </w:r>
    </w:p>
    <w:p w:rsidR="009250E2" w:rsidRPr="00B0625F" w:rsidRDefault="009250E2" w:rsidP="009250E2">
      <w:pPr>
        <w:pStyle w:val="ListParagraph"/>
        <w:ind w:left="2268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250E2">
      <w:pPr>
        <w:pStyle w:val="ListParagraph"/>
        <w:numPr>
          <w:ilvl w:val="1"/>
          <w:numId w:val="23"/>
        </w:numPr>
        <w:ind w:left="2268" w:hanging="567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SASSA assists by sending new account details daily to Banks through National Treasury. The standard time for this process is 3 - 5 days</w:t>
      </w:r>
      <w:r w:rsidR="00D1136E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.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</w:t>
      </w:r>
      <w:r w:rsidR="00D1136E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H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owever</w:t>
      </w:r>
      <w:r w:rsidR="00D1136E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,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some banks may take longer due to internal verification controls.</w:t>
      </w:r>
    </w:p>
    <w:p w:rsidR="00F774E1" w:rsidRPr="00B0625F" w:rsidRDefault="00F774E1" w:rsidP="00F774E1">
      <w:pPr>
        <w:pStyle w:val="ListParagraph"/>
        <w:ind w:left="2160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F774E1">
      <w:pPr>
        <w:pStyle w:val="ListParagraph"/>
        <w:numPr>
          <w:ilvl w:val="0"/>
          <w:numId w:val="21"/>
        </w:numPr>
        <w:ind w:left="2061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  <w:t xml:space="preserve">Referred cases </w:t>
      </w:r>
    </w:p>
    <w:p w:rsidR="00F774E1" w:rsidRPr="00B0625F" w:rsidRDefault="00F774E1" w:rsidP="00956011">
      <w:pPr>
        <w:pStyle w:val="ListParagraph"/>
        <w:numPr>
          <w:ilvl w:val="1"/>
          <w:numId w:val="23"/>
        </w:numPr>
        <w:ind w:left="2268" w:hanging="567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These are approved applications that cannot be paid due to a challenge with identity verification </w:t>
      </w:r>
      <w:r w:rsidR="00956011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i.e.,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ID number has been 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u w:val="single"/>
          <w:lang w:val="en-US"/>
        </w:rPr>
        <w:t>confirmed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to have been used in fraudulent matters such as Identity theft. </w:t>
      </w:r>
    </w:p>
    <w:p w:rsidR="00956011" w:rsidRPr="00B0625F" w:rsidRDefault="00956011" w:rsidP="00956011">
      <w:pPr>
        <w:pStyle w:val="ListParagraph"/>
        <w:ind w:left="2268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56011">
      <w:pPr>
        <w:pStyle w:val="ListParagraph"/>
        <w:numPr>
          <w:ilvl w:val="1"/>
          <w:numId w:val="23"/>
        </w:numPr>
        <w:ind w:left="2268" w:hanging="709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The clients </w:t>
      </w:r>
      <w:r w:rsidR="00976822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were notified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to confirm their identity through a biometric verification process.</w:t>
      </w:r>
    </w:p>
    <w:p w:rsidR="00F774E1" w:rsidRPr="00B0625F" w:rsidRDefault="00F774E1" w:rsidP="00F774E1">
      <w:pPr>
        <w:pStyle w:val="ListParagraph"/>
        <w:ind w:left="2552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56011">
      <w:pPr>
        <w:pStyle w:val="ListParagraph"/>
        <w:numPr>
          <w:ilvl w:val="0"/>
          <w:numId w:val="21"/>
        </w:numPr>
        <w:ind w:left="2268" w:hanging="567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  <w:t>Payments returned by the bank due to challenges with a bank account (EF70)</w:t>
      </w:r>
    </w:p>
    <w:p w:rsidR="00956011" w:rsidRPr="00B0625F" w:rsidRDefault="00956011" w:rsidP="00956011">
      <w:pPr>
        <w:pStyle w:val="ListParagraph"/>
        <w:ind w:left="2061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56011">
      <w:pPr>
        <w:pStyle w:val="ListParagraph"/>
        <w:numPr>
          <w:ilvl w:val="1"/>
          <w:numId w:val="23"/>
        </w:numPr>
        <w:ind w:left="2268" w:hanging="567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The most common reasons are</w:t>
      </w:r>
      <w:r w:rsidR="00D1136E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,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for instance</w:t>
      </w:r>
      <w:r w:rsidR="00D1136E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,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closed accounts, account does not accept credits, </w:t>
      </w:r>
      <w:r w:rsidR="00956011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and 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account pending FICA verification. </w:t>
      </w:r>
    </w:p>
    <w:p w:rsidR="00956011" w:rsidRPr="00B0625F" w:rsidRDefault="00956011" w:rsidP="00956011">
      <w:pPr>
        <w:pStyle w:val="ListParagraph"/>
        <w:ind w:left="2268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56011">
      <w:pPr>
        <w:pStyle w:val="ListParagraph"/>
        <w:numPr>
          <w:ilvl w:val="1"/>
          <w:numId w:val="23"/>
        </w:numPr>
        <w:ind w:left="2410" w:hanging="709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Affected clients are sent a SMS message to resolve the issue with their banks. </w:t>
      </w:r>
    </w:p>
    <w:p w:rsidR="00956011" w:rsidRPr="00B0625F" w:rsidRDefault="00956011" w:rsidP="00956011">
      <w:pPr>
        <w:pStyle w:val="ListParagraph"/>
        <w:ind w:left="2410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56011">
      <w:pPr>
        <w:pStyle w:val="ListParagraph"/>
        <w:numPr>
          <w:ilvl w:val="1"/>
          <w:numId w:val="23"/>
        </w:numPr>
        <w:ind w:left="2268" w:hanging="567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Once the client resolved the matter with the bank</w:t>
      </w:r>
      <w:r w:rsidR="00D1136E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,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the account must be re-</w:t>
      </w:r>
      <w:r w:rsidR="00956011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uploaded,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or a new account should be provided to SASSA by the client. </w:t>
      </w:r>
    </w:p>
    <w:p w:rsidR="00F774E1" w:rsidRPr="00B0625F" w:rsidRDefault="00F774E1" w:rsidP="00F774E1">
      <w:pPr>
        <w:pStyle w:val="ListParagraph"/>
        <w:ind w:left="2160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F774E1">
      <w:pPr>
        <w:pStyle w:val="ListParagraph"/>
        <w:numPr>
          <w:ilvl w:val="0"/>
          <w:numId w:val="21"/>
        </w:numPr>
        <w:ind w:left="2061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  <w:t xml:space="preserve">Cash send clients </w:t>
      </w:r>
    </w:p>
    <w:p w:rsidR="00F774E1" w:rsidRPr="00B0625F" w:rsidRDefault="00F774E1" w:rsidP="00956011">
      <w:pPr>
        <w:pStyle w:val="ListParagraph"/>
        <w:numPr>
          <w:ilvl w:val="1"/>
          <w:numId w:val="23"/>
        </w:numPr>
        <w:ind w:left="2127" w:hanging="426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Verification of the client cellphone number takes longer than with EFT accounts being provided.  </w:t>
      </w:r>
      <w:r w:rsidR="00956011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Several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clients have</w:t>
      </w:r>
      <w:r w:rsidR="00D1136E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,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for instance not RICA’d their cellphone numbers and when the number cannot be tied irrefutably to the client, the cash payment cannot be made.</w:t>
      </w:r>
    </w:p>
    <w:p w:rsidR="00956011" w:rsidRPr="00B0625F" w:rsidRDefault="00956011" w:rsidP="00956011">
      <w:pPr>
        <w:pStyle w:val="ListParagraph"/>
        <w:ind w:left="2127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56011">
      <w:pPr>
        <w:pStyle w:val="ListParagraph"/>
        <w:numPr>
          <w:ilvl w:val="1"/>
          <w:numId w:val="23"/>
        </w:numPr>
        <w:ind w:left="2127" w:hanging="426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Clients who registered for this payment </w:t>
      </w:r>
      <w:r w:rsidR="00576EE1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metho</w:t>
      </w:r>
      <w:r w:rsidR="007B3974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d</w:t>
      </w:r>
      <w:r w:rsidR="00576EE1"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 </w:t>
      </w: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have an option to change to other payment methods and communication was sent to them to exercise this option. </w:t>
      </w:r>
    </w:p>
    <w:p w:rsidR="00956011" w:rsidRPr="00B0625F" w:rsidRDefault="00956011" w:rsidP="00956011">
      <w:pPr>
        <w:pStyle w:val="ListParagraph"/>
        <w:ind w:left="2127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56011">
      <w:pPr>
        <w:pStyle w:val="ListParagraph"/>
        <w:numPr>
          <w:ilvl w:val="1"/>
          <w:numId w:val="23"/>
        </w:numPr>
        <w:ind w:left="2127" w:hanging="426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SASSA is currently paying all clients for whom successful cellphone verification was completed in the past and who were reconciled by banks as successfully paid.</w:t>
      </w:r>
    </w:p>
    <w:p w:rsidR="00F774E1" w:rsidRPr="00B0625F" w:rsidRDefault="00F774E1" w:rsidP="00F774E1">
      <w:pPr>
        <w:pStyle w:val="ListParagraph"/>
        <w:ind w:left="2160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F774E1">
      <w:pPr>
        <w:pStyle w:val="ListParagraph"/>
        <w:numPr>
          <w:ilvl w:val="0"/>
          <w:numId w:val="21"/>
        </w:numPr>
        <w:ind w:left="2061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/>
          <w:bCs/>
          <w:snapToGrid w:val="0"/>
          <w:color w:val="000000"/>
          <w:sz w:val="24"/>
          <w:szCs w:val="24"/>
          <w:lang w:val="en-US"/>
        </w:rPr>
        <w:t>PostBank account holders</w:t>
      </w:r>
    </w:p>
    <w:p w:rsidR="00F774E1" w:rsidRPr="00B0625F" w:rsidRDefault="00F774E1" w:rsidP="00956011">
      <w:pPr>
        <w:pStyle w:val="ListParagraph"/>
        <w:numPr>
          <w:ilvl w:val="1"/>
          <w:numId w:val="23"/>
        </w:numPr>
        <w:ind w:left="2127" w:hanging="426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 xml:space="preserve">There are about half a million clients who have not yet complied with FICA requirements on their Postbank accounts. </w:t>
      </w:r>
    </w:p>
    <w:p w:rsidR="00956011" w:rsidRPr="00B0625F" w:rsidRDefault="00956011" w:rsidP="00956011">
      <w:pPr>
        <w:pStyle w:val="ListParagraph"/>
        <w:ind w:left="2127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F774E1" w:rsidP="00956011">
      <w:pPr>
        <w:pStyle w:val="ListParagraph"/>
        <w:numPr>
          <w:ilvl w:val="0"/>
          <w:numId w:val="26"/>
        </w:numPr>
        <w:ind w:left="2127" w:hanging="644"/>
        <w:jc w:val="both"/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</w:pPr>
      <w:r w:rsidRPr="00B0625F">
        <w:rPr>
          <w:rFonts w:ascii="Arial" w:hAnsi="Arial" w:cs="Arial"/>
          <w:bCs/>
          <w:snapToGrid w:val="0"/>
          <w:color w:val="000000"/>
          <w:sz w:val="24"/>
          <w:szCs w:val="24"/>
          <w:lang w:val="en-US"/>
        </w:rPr>
        <w:t>Clients are required to finalise this FICA process or to upload alternative banking details, to enable payments.</w:t>
      </w:r>
    </w:p>
    <w:p w:rsidR="00F774E1" w:rsidRPr="00B0625F" w:rsidRDefault="00F774E1" w:rsidP="00F774E1">
      <w:pPr>
        <w:pStyle w:val="ListParagraph"/>
        <w:ind w:left="2070"/>
        <w:jc w:val="both"/>
        <w:rPr>
          <w:rFonts w:ascii="Arial" w:eastAsia="Times New Roman" w:hAnsi="Arial" w:cs="Arial"/>
          <w:bCs/>
          <w:snapToGrid w:val="0"/>
          <w:color w:val="000000"/>
          <w:sz w:val="24"/>
          <w:szCs w:val="24"/>
          <w:lang w:val="en-US"/>
        </w:rPr>
      </w:pPr>
    </w:p>
    <w:p w:rsidR="00F774E1" w:rsidRPr="00B0625F" w:rsidRDefault="002F2457" w:rsidP="00956011">
      <w:pPr>
        <w:spacing w:after="0" w:line="240" w:lineRule="auto"/>
        <w:ind w:left="851" w:hanging="1134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(</w:t>
      </w:r>
      <w:r w:rsidR="00F774E1" w:rsidRPr="00B0625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b</w:t>
      </w:r>
      <w:r w:rsidRPr="00B0625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)</w:t>
      </w:r>
      <w:r w:rsidR="00F774E1" w:rsidRPr="00B0625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.</w:t>
      </w:r>
      <w:r w:rsidR="00F774E1"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 </w:t>
      </w:r>
      <w:r w:rsidR="00F27B61"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</w:r>
      <w:r w:rsidR="00F774E1"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Social Grants</w:t>
      </w:r>
    </w:p>
    <w:p w:rsidR="00F774E1" w:rsidRPr="00B0625F" w:rsidRDefault="00F774E1" w:rsidP="00F774E1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956011" w:rsidRPr="00B0625F" w:rsidRDefault="00F774E1" w:rsidP="00956011">
      <w:pPr>
        <w:pStyle w:val="ListParagraph"/>
        <w:numPr>
          <w:ilvl w:val="0"/>
          <w:numId w:val="26"/>
        </w:numPr>
        <w:tabs>
          <w:tab w:val="left" w:pos="1418"/>
        </w:tabs>
        <w:spacing w:after="0" w:line="360" w:lineRule="auto"/>
        <w:ind w:left="1418" w:hanging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This was shortly after the introduction of </w:t>
      </w:r>
      <w:r w:rsidR="00CB13D6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COVID-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19 Regulations and the instatement of various C</w:t>
      </w:r>
      <w:r w:rsidR="000E02F5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OVID-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related benefits for clients such as the Top</w:t>
      </w:r>
      <w:r w:rsidR="000E02F5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-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up grants and the staggering of payments.  The incident involved duplicate </w:t>
      </w:r>
      <w:r w:rsidR="003E5273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files being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extracted for payment for KZN and FS regions.</w:t>
      </w:r>
    </w:p>
    <w:p w:rsidR="000F3CB1" w:rsidRPr="00B0625F" w:rsidRDefault="000F3CB1" w:rsidP="000F3CB1">
      <w:pPr>
        <w:pStyle w:val="ListParagraph"/>
        <w:tabs>
          <w:tab w:val="left" w:pos="1418"/>
        </w:tabs>
        <w:spacing w:after="0" w:line="360" w:lineRule="auto"/>
        <w:ind w:left="141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F774E1" w:rsidP="000F3CB1">
      <w:pPr>
        <w:pStyle w:val="ListParagraph"/>
        <w:numPr>
          <w:ilvl w:val="0"/>
          <w:numId w:val="24"/>
        </w:numPr>
        <w:tabs>
          <w:tab w:val="left" w:pos="709"/>
        </w:tabs>
        <w:spacing w:after="0" w:line="360" w:lineRule="auto"/>
        <w:ind w:left="1418" w:hanging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root cause of the error was determined to be from the implementation of multiple projects in a short space of time </w:t>
      </w:r>
      <w:r w:rsidR="002F2457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i.e.,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Top</w:t>
      </w:r>
      <w:r w:rsidR="000E02F5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-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up grants and staggering of payments.</w:t>
      </w:r>
    </w:p>
    <w:p w:rsidR="000F3CB1" w:rsidRPr="00B0625F" w:rsidRDefault="000F3CB1" w:rsidP="000F3CB1">
      <w:pPr>
        <w:pStyle w:val="ListParagraph"/>
        <w:tabs>
          <w:tab w:val="left" w:pos="709"/>
        </w:tabs>
        <w:spacing w:after="0" w:line="360" w:lineRule="auto"/>
        <w:ind w:left="141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F774E1" w:rsidP="000F3CB1">
      <w:pPr>
        <w:pStyle w:val="ListParagraph"/>
        <w:numPr>
          <w:ilvl w:val="0"/>
          <w:numId w:val="24"/>
        </w:numPr>
        <w:spacing w:after="0" w:line="360" w:lineRule="auto"/>
        <w:ind w:left="1418" w:hanging="425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former was linked with the use of the legacy system for which the coding and implementation periods generally is much longer than with new technology solutions.  There </w:t>
      </w:r>
      <w:r w:rsidR="005A23CB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was,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however</w:t>
      </w:r>
      <w:r w:rsidR="00D1136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pressure to expedite the implementation of solutions given the </w:t>
      </w:r>
      <w:r w:rsidR="00F33D20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COVID</w:t>
      </w:r>
      <w:r w:rsidR="00647A9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-1</w:t>
      </w:r>
      <w:r w:rsidR="00FC3F83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9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challenges.</w:t>
      </w:r>
    </w:p>
    <w:p w:rsidR="00F774E1" w:rsidRPr="00B0625F" w:rsidRDefault="00F774E1" w:rsidP="00F774E1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E404F9" w:rsidP="000F3CB1">
      <w:pPr>
        <w:spacing w:after="0" w:line="240" w:lineRule="auto"/>
        <w:ind w:left="1276" w:firstLine="142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COVID</w:t>
      </w:r>
      <w:r w:rsidR="00F774E1"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-19 SRD </w:t>
      </w:r>
    </w:p>
    <w:p w:rsidR="00F774E1" w:rsidRPr="00B0625F" w:rsidRDefault="00F774E1" w:rsidP="000F3CB1">
      <w:pPr>
        <w:pStyle w:val="ListParagraph"/>
        <w:tabs>
          <w:tab w:val="left" w:pos="1418"/>
        </w:tabs>
        <w:spacing w:after="0" w:line="240" w:lineRule="auto"/>
        <w:ind w:left="1418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Payment challenges were caused by</w:t>
      </w:r>
      <w:r w:rsidR="002F2457"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</w:t>
      </w:r>
    </w:p>
    <w:p w:rsidR="000F3CB1" w:rsidRPr="00B0625F" w:rsidRDefault="000F3CB1" w:rsidP="00364F7D">
      <w:pPr>
        <w:pStyle w:val="ListParagraph"/>
        <w:spacing w:after="0" w:line="240" w:lineRule="auto"/>
        <w:ind w:left="1440" w:hanging="22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774E1" w:rsidRPr="00B0625F" w:rsidRDefault="00F774E1" w:rsidP="00F774E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Stabilisation of the environment following tight timelines to implement the grant, as well as changes in governing rules across all iterations;</w:t>
      </w:r>
    </w:p>
    <w:p w:rsidR="00F774E1" w:rsidRPr="00B0625F" w:rsidRDefault="00F774E1" w:rsidP="00F774E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Sourcing of databases timeously and sourcing of current databases</w:t>
      </w:r>
      <w:r w:rsidR="00D1136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;</w:t>
      </w:r>
    </w:p>
    <w:p w:rsidR="00F774E1" w:rsidRPr="00B0625F" w:rsidRDefault="00F774E1" w:rsidP="00F774E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Prolonged Government procurement processes, especially as it relates to banks and </w:t>
      </w:r>
      <w:r w:rsidR="000E02F5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cell phone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verification companies who are critical enablers of the verification and payment processes</w:t>
      </w:r>
      <w:r w:rsidR="00866C4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</w:p>
    <w:p w:rsidR="00F774E1" w:rsidRPr="00B0625F" w:rsidRDefault="00F774E1" w:rsidP="00F774E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 remainder of the challenges are mainly due to the clients not having bank accounts</w:t>
      </w:r>
      <w:r w:rsidR="00D1136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which payment method (EFT) is more successful than the cash send </w:t>
      </w:r>
      <w:r w:rsidR="00D1136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option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(which is still a developing channel in SA, laden with strict PFMA regulations to verify identity to cell phone</w:t>
      </w:r>
      <w:r w:rsidR="00D1136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numbers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) as well as the Postbank retail payment challenges</w:t>
      </w:r>
      <w:r w:rsidR="00866C4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</w:p>
    <w:p w:rsidR="00F774E1" w:rsidRPr="00B0625F" w:rsidRDefault="00F774E1" w:rsidP="00F774E1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774E1" w:rsidRPr="00B0625F" w:rsidRDefault="00F774E1" w:rsidP="000F3CB1">
      <w:pPr>
        <w:spacing w:after="0" w:line="240" w:lineRule="auto"/>
        <w:ind w:left="1418" w:hanging="1418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Cs/>
          <w:snapToGrid w:val="0"/>
          <w:color w:val="000000"/>
          <w:sz w:val="24"/>
          <w:szCs w:val="24"/>
        </w:rPr>
        <w:t>(c)</w:t>
      </w: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 </w:t>
      </w:r>
      <w:r w:rsidR="000F39B4"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      </w:t>
      </w: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Social Grant</w:t>
      </w:r>
    </w:p>
    <w:p w:rsidR="00F774E1" w:rsidRPr="00B0625F" w:rsidRDefault="00F774E1" w:rsidP="000F3CB1">
      <w:pPr>
        <w:pStyle w:val="ListParagraph"/>
        <w:numPr>
          <w:ilvl w:val="0"/>
          <w:numId w:val="24"/>
        </w:numPr>
        <w:spacing w:after="0" w:line="360" w:lineRule="auto"/>
        <w:ind w:left="1843" w:hanging="425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delayed payments were made later </w:t>
      </w:r>
      <w:r w:rsidR="002C7636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on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the same day affected clients were supposed to receive the monies</w:t>
      </w:r>
      <w:r w:rsidR="000F39B4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</w:p>
    <w:p w:rsidR="00F774E1" w:rsidRPr="00B0625F" w:rsidRDefault="00F774E1" w:rsidP="00F774E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F3CB1" w:rsidRPr="00B0625F" w:rsidRDefault="000F3CB1" w:rsidP="00F774E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F3CB1" w:rsidRPr="00B0625F" w:rsidRDefault="000F3CB1" w:rsidP="00F774E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774E1" w:rsidRPr="00B0625F" w:rsidRDefault="007416D7" w:rsidP="00364F7D">
      <w:pPr>
        <w:spacing w:after="0" w:line="240" w:lineRule="auto"/>
        <w:ind w:left="1080" w:hanging="513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      </w:t>
      </w:r>
      <w:r w:rsidR="00F774E1"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 w:rsidR="000F3CB1"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COVID-</w:t>
      </w:r>
      <w:r w:rsidR="00F774E1" w:rsidRPr="00B0625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19 SRD R350</w:t>
      </w:r>
    </w:p>
    <w:p w:rsidR="00F774E1" w:rsidRPr="00B0625F" w:rsidRDefault="00F774E1" w:rsidP="00F774E1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0F3CB1" w:rsidRPr="00B0625F" w:rsidRDefault="00F774E1" w:rsidP="000F3CB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Payments where the verification databases and the required payments details are available and verified are made in the month of payment </w:t>
      </w:r>
      <w:r w:rsidR="000F3CB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i.e.,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a week after the payment of social grants</w:t>
      </w:r>
      <w:r w:rsidR="00D1136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</w:p>
    <w:p w:rsidR="000F3CB1" w:rsidRPr="00B0625F" w:rsidRDefault="000F3CB1" w:rsidP="000F3CB1">
      <w:pPr>
        <w:pStyle w:val="ListParagraph"/>
        <w:spacing w:after="0" w:line="360" w:lineRule="auto"/>
        <w:ind w:left="1778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F3CB1" w:rsidRPr="00B0625F" w:rsidRDefault="006D2607" w:rsidP="000F3CB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C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lients whose payments details were not available and have been verified at the time of </w:t>
      </w:r>
      <w:r w:rsidR="00D1136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the 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scheduled payment period</w:t>
      </w:r>
      <w:r w:rsidR="00BC140A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,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are revisited after the normal </w:t>
      </w:r>
      <w:r w:rsidR="000F3CB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payments are</w:t>
      </w:r>
      <w:r w:rsidR="00E075D7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F774E1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processed.</w:t>
      </w:r>
    </w:p>
    <w:p w:rsidR="000F3CB1" w:rsidRPr="00B0625F" w:rsidRDefault="000F3CB1" w:rsidP="000F3CB1">
      <w:pPr>
        <w:pStyle w:val="ListParagrap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F774E1" w:rsidRPr="00B0625F" w:rsidRDefault="00F774E1" w:rsidP="000F3CB1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Any outstanding historic payments requires action on the part of the client</w:t>
      </w:r>
      <w:r w:rsidR="00E075D7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.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</w:t>
      </w:r>
      <w:r w:rsidR="00E075D7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I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t is not possible to provide a date when all clients will be paid. Once the client’s payment method is corrected by the client, and verified</w:t>
      </w:r>
      <w:r w:rsidR="007A11BE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by the agency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, </w:t>
      </w:r>
      <w:r w:rsidR="00DF1FBF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it is then that 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SASSA </w:t>
      </w:r>
      <w:r w:rsidR="00DF1FBF"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>is</w:t>
      </w:r>
      <w:r w:rsidRPr="00B0625F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 able to effect payment to the client.</w:t>
      </w:r>
    </w:p>
    <w:p w:rsidR="00F774E1" w:rsidRPr="00B0625F" w:rsidRDefault="00F774E1" w:rsidP="00F774E1">
      <w:pPr>
        <w:pStyle w:val="ListParagraph"/>
        <w:spacing w:after="0" w:line="360" w:lineRule="auto"/>
        <w:ind w:left="216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900B91" w:rsidRPr="00B0625F" w:rsidRDefault="00900B91" w:rsidP="008D16C5">
      <w:pP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F04ECE" w:rsidRPr="00B0625F" w:rsidRDefault="00F04EC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sectPr w:rsidR="00F04ECE" w:rsidRPr="00B0625F" w:rsidSect="00364F7D">
      <w:headerReference w:type="default" r:id="rId8"/>
      <w:footerReference w:type="default" r:id="rId9"/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03" w:rsidRDefault="007D2A03">
      <w:pPr>
        <w:spacing w:after="0" w:line="240" w:lineRule="auto"/>
      </w:pPr>
      <w:r>
        <w:separator/>
      </w:r>
    </w:p>
  </w:endnote>
  <w:endnote w:type="continuationSeparator" w:id="0">
    <w:p w:rsidR="007D2A03" w:rsidRDefault="007D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45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CB1" w:rsidRDefault="00BF6B2A">
        <w:pPr>
          <w:pStyle w:val="Footer"/>
          <w:jc w:val="right"/>
        </w:pPr>
        <w:r>
          <w:fldChar w:fldCharType="begin"/>
        </w:r>
        <w:r w:rsidR="000F3CB1">
          <w:instrText xml:space="preserve"> PAGE   \* MERGEFORMAT </w:instrText>
        </w:r>
        <w:r>
          <w:fldChar w:fldCharType="separate"/>
        </w:r>
        <w:r w:rsidR="007D2A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4E1" w:rsidRDefault="00F774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03" w:rsidRDefault="007D2A03">
      <w:pPr>
        <w:spacing w:after="0" w:line="240" w:lineRule="auto"/>
      </w:pPr>
      <w:r>
        <w:separator/>
      </w:r>
    </w:p>
  </w:footnote>
  <w:footnote w:type="continuationSeparator" w:id="0">
    <w:p w:rsidR="007D2A03" w:rsidRDefault="007D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45BCC"/>
    <w:multiLevelType w:val="hybridMultilevel"/>
    <w:tmpl w:val="83F85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569D6"/>
    <w:multiLevelType w:val="hybridMultilevel"/>
    <w:tmpl w:val="C7F81E46"/>
    <w:lvl w:ilvl="0" w:tplc="1C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4F7D9E"/>
    <w:multiLevelType w:val="hybridMultilevel"/>
    <w:tmpl w:val="9092CD46"/>
    <w:lvl w:ilvl="0" w:tplc="5DFCE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46716"/>
    <w:multiLevelType w:val="hybridMultilevel"/>
    <w:tmpl w:val="81B20314"/>
    <w:lvl w:ilvl="0" w:tplc="B1D0E4E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32C8C"/>
    <w:multiLevelType w:val="hybridMultilevel"/>
    <w:tmpl w:val="504AAFAE"/>
    <w:lvl w:ilvl="0" w:tplc="91283764">
      <w:start w:val="1"/>
      <w:numFmt w:val="lowerLetter"/>
      <w:lvlText w:val="(%1)"/>
      <w:lvlJc w:val="left"/>
      <w:pPr>
        <w:ind w:left="720" w:hanging="72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4FAB1BE6"/>
    <w:multiLevelType w:val="hybridMultilevel"/>
    <w:tmpl w:val="115C3E1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>
    <w:nsid w:val="523B7B31"/>
    <w:multiLevelType w:val="hybridMultilevel"/>
    <w:tmpl w:val="CAE0A954"/>
    <w:lvl w:ilvl="0" w:tplc="E9BE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739A0"/>
    <w:multiLevelType w:val="hybridMultilevel"/>
    <w:tmpl w:val="EA10FEA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>
    <w:nsid w:val="681F3E4B"/>
    <w:multiLevelType w:val="hybridMultilevel"/>
    <w:tmpl w:val="A5A07CFC"/>
    <w:lvl w:ilvl="0" w:tplc="1C0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291A90"/>
    <w:multiLevelType w:val="hybridMultilevel"/>
    <w:tmpl w:val="28C8E712"/>
    <w:lvl w:ilvl="0" w:tplc="5EB49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195F2A"/>
    <w:multiLevelType w:val="hybridMultilevel"/>
    <w:tmpl w:val="FEF6C984"/>
    <w:lvl w:ilvl="0" w:tplc="9B6E589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3"/>
  </w:num>
  <w:num w:numId="5">
    <w:abstractNumId w:val="18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7"/>
  </w:num>
  <w:num w:numId="11">
    <w:abstractNumId w:val="9"/>
  </w:num>
  <w:num w:numId="12">
    <w:abstractNumId w:val="23"/>
  </w:num>
  <w:num w:numId="13">
    <w:abstractNumId w:val="16"/>
  </w:num>
  <w:num w:numId="14">
    <w:abstractNumId w:val="10"/>
  </w:num>
  <w:num w:numId="15">
    <w:abstractNumId w:val="22"/>
  </w:num>
  <w:num w:numId="16">
    <w:abstractNumId w:val="19"/>
  </w:num>
  <w:num w:numId="17">
    <w:abstractNumId w:val="25"/>
  </w:num>
  <w:num w:numId="18">
    <w:abstractNumId w:val="4"/>
  </w:num>
  <w:num w:numId="19">
    <w:abstractNumId w:val="24"/>
  </w:num>
  <w:num w:numId="20">
    <w:abstractNumId w:val="6"/>
  </w:num>
  <w:num w:numId="21">
    <w:abstractNumId w:val="20"/>
  </w:num>
  <w:num w:numId="22">
    <w:abstractNumId w:val="12"/>
  </w:num>
  <w:num w:numId="23">
    <w:abstractNumId w:val="1"/>
  </w:num>
  <w:num w:numId="24">
    <w:abstractNumId w:val="2"/>
  </w:num>
  <w:num w:numId="25">
    <w:abstractNumId w:val="11"/>
  </w:num>
  <w:num w:numId="26">
    <w:abstractNumId w:val="2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2DAF"/>
    <w:rsid w:val="00030F7E"/>
    <w:rsid w:val="00041AA3"/>
    <w:rsid w:val="00041FD4"/>
    <w:rsid w:val="000422A9"/>
    <w:rsid w:val="00042BE0"/>
    <w:rsid w:val="00045724"/>
    <w:rsid w:val="00051EC2"/>
    <w:rsid w:val="000606D9"/>
    <w:rsid w:val="0006562B"/>
    <w:rsid w:val="00066271"/>
    <w:rsid w:val="000707D0"/>
    <w:rsid w:val="0007116F"/>
    <w:rsid w:val="00072CFF"/>
    <w:rsid w:val="00083B8D"/>
    <w:rsid w:val="00091658"/>
    <w:rsid w:val="0009793F"/>
    <w:rsid w:val="000A4F5B"/>
    <w:rsid w:val="000B3D62"/>
    <w:rsid w:val="000B436B"/>
    <w:rsid w:val="000C1583"/>
    <w:rsid w:val="000C35A9"/>
    <w:rsid w:val="000C56D8"/>
    <w:rsid w:val="000D465F"/>
    <w:rsid w:val="000D649C"/>
    <w:rsid w:val="000E02F5"/>
    <w:rsid w:val="000E3F6F"/>
    <w:rsid w:val="000F04F6"/>
    <w:rsid w:val="000F1964"/>
    <w:rsid w:val="000F1F08"/>
    <w:rsid w:val="000F33EF"/>
    <w:rsid w:val="000F39B4"/>
    <w:rsid w:val="000F3CB1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0E15"/>
    <w:rsid w:val="00183FED"/>
    <w:rsid w:val="0019197B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5F7"/>
    <w:rsid w:val="001D3C87"/>
    <w:rsid w:val="001E22C5"/>
    <w:rsid w:val="001E322B"/>
    <w:rsid w:val="001F1C3B"/>
    <w:rsid w:val="00205109"/>
    <w:rsid w:val="002052D4"/>
    <w:rsid w:val="00207160"/>
    <w:rsid w:val="00207359"/>
    <w:rsid w:val="00214E66"/>
    <w:rsid w:val="00224843"/>
    <w:rsid w:val="0022528F"/>
    <w:rsid w:val="002346B4"/>
    <w:rsid w:val="00240751"/>
    <w:rsid w:val="0024771A"/>
    <w:rsid w:val="00253989"/>
    <w:rsid w:val="00253C36"/>
    <w:rsid w:val="002559B6"/>
    <w:rsid w:val="00257F0B"/>
    <w:rsid w:val="00262858"/>
    <w:rsid w:val="00264E4F"/>
    <w:rsid w:val="0026668F"/>
    <w:rsid w:val="00270B32"/>
    <w:rsid w:val="00270F3D"/>
    <w:rsid w:val="002719E6"/>
    <w:rsid w:val="0027349C"/>
    <w:rsid w:val="002738BB"/>
    <w:rsid w:val="002810E9"/>
    <w:rsid w:val="00281672"/>
    <w:rsid w:val="002932D5"/>
    <w:rsid w:val="002A66E4"/>
    <w:rsid w:val="002B18D2"/>
    <w:rsid w:val="002B3395"/>
    <w:rsid w:val="002B5DEF"/>
    <w:rsid w:val="002B65AC"/>
    <w:rsid w:val="002B6874"/>
    <w:rsid w:val="002B7F4E"/>
    <w:rsid w:val="002C5731"/>
    <w:rsid w:val="002C7636"/>
    <w:rsid w:val="002C7CA9"/>
    <w:rsid w:val="002D4C7A"/>
    <w:rsid w:val="002E7AA7"/>
    <w:rsid w:val="002F0131"/>
    <w:rsid w:val="002F04B7"/>
    <w:rsid w:val="002F17AE"/>
    <w:rsid w:val="002F2457"/>
    <w:rsid w:val="002F5A70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4F7D"/>
    <w:rsid w:val="003677F8"/>
    <w:rsid w:val="003733A0"/>
    <w:rsid w:val="00373532"/>
    <w:rsid w:val="00390C3B"/>
    <w:rsid w:val="00390DD0"/>
    <w:rsid w:val="003A46F0"/>
    <w:rsid w:val="003B06A7"/>
    <w:rsid w:val="003B0B4C"/>
    <w:rsid w:val="003B2673"/>
    <w:rsid w:val="003B2FF5"/>
    <w:rsid w:val="003B4252"/>
    <w:rsid w:val="003B724D"/>
    <w:rsid w:val="003C16FC"/>
    <w:rsid w:val="003C4309"/>
    <w:rsid w:val="003C44B1"/>
    <w:rsid w:val="003C4EEE"/>
    <w:rsid w:val="003D6032"/>
    <w:rsid w:val="003E2446"/>
    <w:rsid w:val="003E46B8"/>
    <w:rsid w:val="003E5273"/>
    <w:rsid w:val="003F1D8A"/>
    <w:rsid w:val="003F2066"/>
    <w:rsid w:val="003F291A"/>
    <w:rsid w:val="003F3F09"/>
    <w:rsid w:val="003F46EA"/>
    <w:rsid w:val="003F59C2"/>
    <w:rsid w:val="00401F5C"/>
    <w:rsid w:val="00402D36"/>
    <w:rsid w:val="004072F4"/>
    <w:rsid w:val="004152F6"/>
    <w:rsid w:val="00420BB8"/>
    <w:rsid w:val="00422B00"/>
    <w:rsid w:val="00425532"/>
    <w:rsid w:val="00427408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27DA"/>
    <w:rsid w:val="004C33D0"/>
    <w:rsid w:val="004C75CF"/>
    <w:rsid w:val="004D27C4"/>
    <w:rsid w:val="004D2F24"/>
    <w:rsid w:val="004D56FC"/>
    <w:rsid w:val="004E0A72"/>
    <w:rsid w:val="004E33EB"/>
    <w:rsid w:val="004E7C2C"/>
    <w:rsid w:val="004F13A8"/>
    <w:rsid w:val="004F1CEA"/>
    <w:rsid w:val="004F5481"/>
    <w:rsid w:val="004F56E5"/>
    <w:rsid w:val="004F58F7"/>
    <w:rsid w:val="00501A17"/>
    <w:rsid w:val="00506466"/>
    <w:rsid w:val="00515132"/>
    <w:rsid w:val="0053151F"/>
    <w:rsid w:val="00531BEB"/>
    <w:rsid w:val="00536B12"/>
    <w:rsid w:val="00537B1C"/>
    <w:rsid w:val="0054758F"/>
    <w:rsid w:val="00551EEA"/>
    <w:rsid w:val="00556689"/>
    <w:rsid w:val="00567EA8"/>
    <w:rsid w:val="00576EE1"/>
    <w:rsid w:val="00577FEC"/>
    <w:rsid w:val="005825E4"/>
    <w:rsid w:val="00584954"/>
    <w:rsid w:val="00586CCC"/>
    <w:rsid w:val="00592B9B"/>
    <w:rsid w:val="005962DE"/>
    <w:rsid w:val="005A0E21"/>
    <w:rsid w:val="005A184A"/>
    <w:rsid w:val="005A23CB"/>
    <w:rsid w:val="005A37EE"/>
    <w:rsid w:val="005A3AB9"/>
    <w:rsid w:val="005A6384"/>
    <w:rsid w:val="005A6543"/>
    <w:rsid w:val="005B5BFF"/>
    <w:rsid w:val="005D23BD"/>
    <w:rsid w:val="005D3DDE"/>
    <w:rsid w:val="005D5EBD"/>
    <w:rsid w:val="005D7EF1"/>
    <w:rsid w:val="005E4916"/>
    <w:rsid w:val="005E78B8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C1C"/>
    <w:rsid w:val="00631AD1"/>
    <w:rsid w:val="00634F63"/>
    <w:rsid w:val="00641606"/>
    <w:rsid w:val="00645D55"/>
    <w:rsid w:val="00647A91"/>
    <w:rsid w:val="0065044E"/>
    <w:rsid w:val="0065360F"/>
    <w:rsid w:val="00653B78"/>
    <w:rsid w:val="006542D2"/>
    <w:rsid w:val="00656F64"/>
    <w:rsid w:val="00661786"/>
    <w:rsid w:val="00676187"/>
    <w:rsid w:val="00681530"/>
    <w:rsid w:val="0068260E"/>
    <w:rsid w:val="00682F8C"/>
    <w:rsid w:val="00685F7F"/>
    <w:rsid w:val="006867B0"/>
    <w:rsid w:val="006A4DB2"/>
    <w:rsid w:val="006C6488"/>
    <w:rsid w:val="006D024F"/>
    <w:rsid w:val="006D22BA"/>
    <w:rsid w:val="006D2607"/>
    <w:rsid w:val="006E4581"/>
    <w:rsid w:val="006E5299"/>
    <w:rsid w:val="006E62F1"/>
    <w:rsid w:val="006F0EB0"/>
    <w:rsid w:val="006F1316"/>
    <w:rsid w:val="006F2450"/>
    <w:rsid w:val="006F3E48"/>
    <w:rsid w:val="00702A10"/>
    <w:rsid w:val="00711C80"/>
    <w:rsid w:val="007130F6"/>
    <w:rsid w:val="007139C1"/>
    <w:rsid w:val="00716453"/>
    <w:rsid w:val="00717F5E"/>
    <w:rsid w:val="00721A9B"/>
    <w:rsid w:val="00722B19"/>
    <w:rsid w:val="0072387B"/>
    <w:rsid w:val="00724E78"/>
    <w:rsid w:val="00726C88"/>
    <w:rsid w:val="007345A6"/>
    <w:rsid w:val="007416D7"/>
    <w:rsid w:val="00743DFA"/>
    <w:rsid w:val="00747628"/>
    <w:rsid w:val="00753312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11BE"/>
    <w:rsid w:val="007A449C"/>
    <w:rsid w:val="007A7AE6"/>
    <w:rsid w:val="007A7E54"/>
    <w:rsid w:val="007B3974"/>
    <w:rsid w:val="007B659D"/>
    <w:rsid w:val="007C2B91"/>
    <w:rsid w:val="007D0892"/>
    <w:rsid w:val="007D2A03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27E45"/>
    <w:rsid w:val="008305AC"/>
    <w:rsid w:val="00837E04"/>
    <w:rsid w:val="00843136"/>
    <w:rsid w:val="00850C63"/>
    <w:rsid w:val="00852A67"/>
    <w:rsid w:val="00861672"/>
    <w:rsid w:val="008617BF"/>
    <w:rsid w:val="00866C4E"/>
    <w:rsid w:val="00873A25"/>
    <w:rsid w:val="0087491C"/>
    <w:rsid w:val="0088698A"/>
    <w:rsid w:val="00892AE6"/>
    <w:rsid w:val="008931DB"/>
    <w:rsid w:val="008A43F9"/>
    <w:rsid w:val="008A5D65"/>
    <w:rsid w:val="008B175E"/>
    <w:rsid w:val="008B3F12"/>
    <w:rsid w:val="008B5901"/>
    <w:rsid w:val="008C1BDF"/>
    <w:rsid w:val="008D16C5"/>
    <w:rsid w:val="008D3585"/>
    <w:rsid w:val="008D577E"/>
    <w:rsid w:val="008D671E"/>
    <w:rsid w:val="008E0887"/>
    <w:rsid w:val="008E3CB8"/>
    <w:rsid w:val="008E5107"/>
    <w:rsid w:val="00900B91"/>
    <w:rsid w:val="0090785A"/>
    <w:rsid w:val="00907F57"/>
    <w:rsid w:val="00913103"/>
    <w:rsid w:val="00917F4A"/>
    <w:rsid w:val="00923C66"/>
    <w:rsid w:val="009250E2"/>
    <w:rsid w:val="00925A2E"/>
    <w:rsid w:val="00926BB8"/>
    <w:rsid w:val="009311E4"/>
    <w:rsid w:val="00936CCE"/>
    <w:rsid w:val="00943310"/>
    <w:rsid w:val="00947DCC"/>
    <w:rsid w:val="00950A52"/>
    <w:rsid w:val="0095259B"/>
    <w:rsid w:val="00954A50"/>
    <w:rsid w:val="00956011"/>
    <w:rsid w:val="0095691B"/>
    <w:rsid w:val="00962A9C"/>
    <w:rsid w:val="00967FF3"/>
    <w:rsid w:val="00973DE3"/>
    <w:rsid w:val="009760C8"/>
    <w:rsid w:val="00976822"/>
    <w:rsid w:val="00976B23"/>
    <w:rsid w:val="0098193E"/>
    <w:rsid w:val="00991148"/>
    <w:rsid w:val="00993894"/>
    <w:rsid w:val="00995ACC"/>
    <w:rsid w:val="00996871"/>
    <w:rsid w:val="0099694C"/>
    <w:rsid w:val="009A3623"/>
    <w:rsid w:val="009B0C0D"/>
    <w:rsid w:val="009C4045"/>
    <w:rsid w:val="009D12AD"/>
    <w:rsid w:val="009D31D0"/>
    <w:rsid w:val="009D381B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468C6"/>
    <w:rsid w:val="00A46E69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5855"/>
    <w:rsid w:val="00AC6B28"/>
    <w:rsid w:val="00AD1397"/>
    <w:rsid w:val="00AD58FA"/>
    <w:rsid w:val="00AD686B"/>
    <w:rsid w:val="00AE09B4"/>
    <w:rsid w:val="00AE14BC"/>
    <w:rsid w:val="00AE3CAA"/>
    <w:rsid w:val="00AF11D1"/>
    <w:rsid w:val="00AF150C"/>
    <w:rsid w:val="00AF7818"/>
    <w:rsid w:val="00B02F08"/>
    <w:rsid w:val="00B04D8C"/>
    <w:rsid w:val="00B0625F"/>
    <w:rsid w:val="00B1408A"/>
    <w:rsid w:val="00B16355"/>
    <w:rsid w:val="00B20FC8"/>
    <w:rsid w:val="00B21BC6"/>
    <w:rsid w:val="00B2306F"/>
    <w:rsid w:val="00B24D20"/>
    <w:rsid w:val="00B30792"/>
    <w:rsid w:val="00B3376F"/>
    <w:rsid w:val="00B40984"/>
    <w:rsid w:val="00B4712D"/>
    <w:rsid w:val="00B53024"/>
    <w:rsid w:val="00B55A37"/>
    <w:rsid w:val="00B606E8"/>
    <w:rsid w:val="00B61892"/>
    <w:rsid w:val="00B74F1D"/>
    <w:rsid w:val="00B82C53"/>
    <w:rsid w:val="00B90DCE"/>
    <w:rsid w:val="00B91AED"/>
    <w:rsid w:val="00B9218C"/>
    <w:rsid w:val="00B95215"/>
    <w:rsid w:val="00BB0803"/>
    <w:rsid w:val="00BB1B93"/>
    <w:rsid w:val="00BB3A79"/>
    <w:rsid w:val="00BB7FA9"/>
    <w:rsid w:val="00BC12C9"/>
    <w:rsid w:val="00BC140A"/>
    <w:rsid w:val="00BD07CD"/>
    <w:rsid w:val="00BD19CE"/>
    <w:rsid w:val="00BD1C78"/>
    <w:rsid w:val="00BD231A"/>
    <w:rsid w:val="00BD3371"/>
    <w:rsid w:val="00BD358D"/>
    <w:rsid w:val="00BD4CA6"/>
    <w:rsid w:val="00BE27C6"/>
    <w:rsid w:val="00BE4B10"/>
    <w:rsid w:val="00BE7599"/>
    <w:rsid w:val="00BF18E9"/>
    <w:rsid w:val="00BF374C"/>
    <w:rsid w:val="00BF4647"/>
    <w:rsid w:val="00BF48CB"/>
    <w:rsid w:val="00BF6B2A"/>
    <w:rsid w:val="00C01144"/>
    <w:rsid w:val="00C043BC"/>
    <w:rsid w:val="00C0555F"/>
    <w:rsid w:val="00C1329B"/>
    <w:rsid w:val="00C14016"/>
    <w:rsid w:val="00C15BFA"/>
    <w:rsid w:val="00C20D9A"/>
    <w:rsid w:val="00C30219"/>
    <w:rsid w:val="00C305CD"/>
    <w:rsid w:val="00C3242E"/>
    <w:rsid w:val="00C33804"/>
    <w:rsid w:val="00C36AD6"/>
    <w:rsid w:val="00C4208C"/>
    <w:rsid w:val="00C458DA"/>
    <w:rsid w:val="00C468BA"/>
    <w:rsid w:val="00C52EF3"/>
    <w:rsid w:val="00C569D0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13D6"/>
    <w:rsid w:val="00CB46EF"/>
    <w:rsid w:val="00CC00B3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CF7D9C"/>
    <w:rsid w:val="00D065BE"/>
    <w:rsid w:val="00D1136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92113"/>
    <w:rsid w:val="00DA1809"/>
    <w:rsid w:val="00DA1E4E"/>
    <w:rsid w:val="00DB17FD"/>
    <w:rsid w:val="00DC028F"/>
    <w:rsid w:val="00DC221D"/>
    <w:rsid w:val="00DC5658"/>
    <w:rsid w:val="00DD362F"/>
    <w:rsid w:val="00DD69F1"/>
    <w:rsid w:val="00DD7FD5"/>
    <w:rsid w:val="00DE0F8E"/>
    <w:rsid w:val="00DF142E"/>
    <w:rsid w:val="00DF1917"/>
    <w:rsid w:val="00DF1FBF"/>
    <w:rsid w:val="00DF27C3"/>
    <w:rsid w:val="00DF476E"/>
    <w:rsid w:val="00DF636B"/>
    <w:rsid w:val="00E00811"/>
    <w:rsid w:val="00E075D7"/>
    <w:rsid w:val="00E07F82"/>
    <w:rsid w:val="00E10807"/>
    <w:rsid w:val="00E15F95"/>
    <w:rsid w:val="00E21BE6"/>
    <w:rsid w:val="00E30D1D"/>
    <w:rsid w:val="00E36AB5"/>
    <w:rsid w:val="00E404F9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872E9"/>
    <w:rsid w:val="00E90BBD"/>
    <w:rsid w:val="00E940AE"/>
    <w:rsid w:val="00E96AE2"/>
    <w:rsid w:val="00EB1A0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E76F9"/>
    <w:rsid w:val="00EE7CE3"/>
    <w:rsid w:val="00EF057D"/>
    <w:rsid w:val="00EF0741"/>
    <w:rsid w:val="00EF2494"/>
    <w:rsid w:val="00EF3777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27B61"/>
    <w:rsid w:val="00F30443"/>
    <w:rsid w:val="00F33D20"/>
    <w:rsid w:val="00F33D87"/>
    <w:rsid w:val="00F35D12"/>
    <w:rsid w:val="00F37E84"/>
    <w:rsid w:val="00F43329"/>
    <w:rsid w:val="00F468FA"/>
    <w:rsid w:val="00F732A3"/>
    <w:rsid w:val="00F76C0E"/>
    <w:rsid w:val="00F774E1"/>
    <w:rsid w:val="00F77743"/>
    <w:rsid w:val="00F77BA6"/>
    <w:rsid w:val="00F86A05"/>
    <w:rsid w:val="00F86AA7"/>
    <w:rsid w:val="00F8736C"/>
    <w:rsid w:val="00F92F9F"/>
    <w:rsid w:val="00F93622"/>
    <w:rsid w:val="00FB4659"/>
    <w:rsid w:val="00FB557D"/>
    <w:rsid w:val="00FB5F56"/>
    <w:rsid w:val="00FC2C79"/>
    <w:rsid w:val="00FC3F83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7F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5E78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8B8"/>
  </w:style>
  <w:style w:type="paragraph" w:styleId="Revision">
    <w:name w:val="Revision"/>
    <w:hidden/>
    <w:uiPriority w:val="99"/>
    <w:semiHidden/>
    <w:rsid w:val="003F59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66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6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6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68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171D-86F1-41A6-BB08-91CAB0B7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2023-03-01T07:17:00Z</cp:lastPrinted>
  <dcterms:created xsi:type="dcterms:W3CDTF">2023-04-03T12:36:00Z</dcterms:created>
  <dcterms:modified xsi:type="dcterms:W3CDTF">2023-04-03T12:36:00Z</dcterms:modified>
</cp:coreProperties>
</file>