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05" w:rsidRPr="00262F05" w:rsidRDefault="00262F05" w:rsidP="00262F05">
      <w:pPr>
        <w:jc w:val="center"/>
        <w:rPr>
          <w:rFonts w:ascii="Arial" w:hAnsi="Arial" w:cs="Arial"/>
          <w:b/>
          <w:sz w:val="22"/>
          <w:szCs w:val="22"/>
        </w:rPr>
      </w:pPr>
      <w:r w:rsidRPr="00262F05">
        <w:rPr>
          <w:rFonts w:ascii="Arial" w:hAnsi="Arial" w:cs="Arial"/>
          <w:b/>
          <w:sz w:val="22"/>
          <w:szCs w:val="22"/>
        </w:rPr>
        <w:t>NATIONAL ASSEMBLY</w:t>
      </w:r>
    </w:p>
    <w:p w:rsidR="00262F05" w:rsidRPr="00262F05" w:rsidRDefault="00262F05" w:rsidP="00262F05">
      <w:pPr>
        <w:jc w:val="center"/>
        <w:rPr>
          <w:rFonts w:ascii="Arial" w:hAnsi="Arial" w:cs="Arial"/>
          <w:b/>
          <w:sz w:val="22"/>
          <w:szCs w:val="22"/>
        </w:rPr>
      </w:pPr>
      <w:r w:rsidRPr="00262F05">
        <w:rPr>
          <w:rFonts w:ascii="Arial" w:hAnsi="Arial" w:cs="Arial"/>
          <w:b/>
          <w:sz w:val="22"/>
          <w:szCs w:val="22"/>
        </w:rPr>
        <w:t>QUESTION FOR WRITTEN REPLY</w:t>
      </w:r>
    </w:p>
    <w:p w:rsidR="00262F05" w:rsidRPr="00262F05" w:rsidRDefault="004709BD" w:rsidP="00262F05">
      <w:pPr>
        <w:jc w:val="center"/>
        <w:rPr>
          <w:rFonts w:ascii="Arial" w:hAnsi="Arial" w:cs="Arial"/>
          <w:b/>
          <w:sz w:val="22"/>
          <w:szCs w:val="22"/>
        </w:rPr>
      </w:pPr>
      <w:r>
        <w:rPr>
          <w:rFonts w:ascii="Arial" w:hAnsi="Arial" w:cs="Arial"/>
          <w:b/>
          <w:sz w:val="22"/>
          <w:szCs w:val="22"/>
        </w:rPr>
        <w:t>QUESTION NUMBER: 2</w:t>
      </w:r>
      <w:r w:rsidR="008F6C28">
        <w:rPr>
          <w:rFonts w:ascii="Arial" w:hAnsi="Arial" w:cs="Arial"/>
          <w:b/>
          <w:sz w:val="22"/>
          <w:szCs w:val="22"/>
        </w:rPr>
        <w:t>507</w:t>
      </w:r>
      <w:r w:rsidR="00262F05" w:rsidRPr="00262F05">
        <w:rPr>
          <w:rFonts w:ascii="Arial" w:hAnsi="Arial" w:cs="Arial"/>
          <w:b/>
          <w:sz w:val="22"/>
          <w:szCs w:val="22"/>
        </w:rPr>
        <w:t xml:space="preserve"> [NW</w:t>
      </w:r>
      <w:r w:rsidR="008F6C28">
        <w:rPr>
          <w:rFonts w:ascii="Arial" w:hAnsi="Arial" w:cs="Arial"/>
          <w:b/>
          <w:sz w:val="22"/>
          <w:szCs w:val="22"/>
        </w:rPr>
        <w:t>2794</w:t>
      </w:r>
      <w:r w:rsidR="00262F05" w:rsidRPr="00262F05">
        <w:rPr>
          <w:rFonts w:ascii="Arial" w:hAnsi="Arial" w:cs="Arial"/>
          <w:b/>
          <w:sz w:val="22"/>
          <w:szCs w:val="22"/>
        </w:rPr>
        <w:t>E]</w:t>
      </w:r>
    </w:p>
    <w:p w:rsidR="00262F05" w:rsidRPr="00262F05" w:rsidRDefault="00262F05" w:rsidP="00262F05">
      <w:pPr>
        <w:jc w:val="center"/>
        <w:rPr>
          <w:rFonts w:ascii="Arial" w:hAnsi="Arial" w:cs="Arial"/>
          <w:b/>
          <w:sz w:val="22"/>
          <w:szCs w:val="22"/>
        </w:rPr>
      </w:pPr>
      <w:r w:rsidRPr="00262F05">
        <w:rPr>
          <w:rFonts w:ascii="Arial" w:hAnsi="Arial" w:cs="Arial"/>
          <w:b/>
          <w:sz w:val="22"/>
          <w:szCs w:val="22"/>
        </w:rPr>
        <w:t xml:space="preserve">DATE OF PUBLICATION: </w:t>
      </w:r>
      <w:r w:rsidR="001B545F">
        <w:rPr>
          <w:rFonts w:ascii="Arial" w:hAnsi="Arial" w:cs="Arial"/>
          <w:b/>
          <w:sz w:val="22"/>
          <w:szCs w:val="22"/>
        </w:rPr>
        <w:t>31</w:t>
      </w:r>
      <w:r w:rsidRPr="00262F05">
        <w:rPr>
          <w:rFonts w:ascii="Arial" w:hAnsi="Arial" w:cs="Arial"/>
          <w:b/>
          <w:sz w:val="22"/>
          <w:szCs w:val="22"/>
        </w:rPr>
        <w:t xml:space="preserve"> AUGUST 2018</w:t>
      </w:r>
    </w:p>
    <w:p w:rsidR="0062770E" w:rsidRPr="00413C95" w:rsidRDefault="0062770E" w:rsidP="00262F05">
      <w:pPr>
        <w:rPr>
          <w:rFonts w:ascii="Arial" w:hAnsi="Arial" w:cs="Arial"/>
          <w:b/>
          <w:sz w:val="22"/>
          <w:szCs w:val="22"/>
        </w:rPr>
      </w:pPr>
    </w:p>
    <w:p w:rsidR="008F6C28" w:rsidRPr="008F6C28" w:rsidRDefault="008F6C28" w:rsidP="008F6C28">
      <w:pPr>
        <w:spacing w:before="100" w:beforeAutospacing="1" w:after="100" w:afterAutospacing="1"/>
        <w:ind w:left="720" w:hanging="720"/>
        <w:jc w:val="both"/>
        <w:outlineLvl w:val="0"/>
        <w:rPr>
          <w:rFonts w:ascii="Arial" w:eastAsia="Calibri" w:hAnsi="Arial" w:cs="Arial"/>
          <w:sz w:val="22"/>
          <w:szCs w:val="22"/>
          <w:lang w:val="en-GB"/>
        </w:rPr>
      </w:pPr>
      <w:r w:rsidRPr="008F6C28">
        <w:rPr>
          <w:rFonts w:ascii="Arial" w:eastAsia="Calibri" w:hAnsi="Arial" w:cs="Arial"/>
          <w:b/>
          <w:sz w:val="22"/>
          <w:szCs w:val="22"/>
          <w:lang w:val="en-GB"/>
        </w:rPr>
        <w:t>2507.</w:t>
      </w:r>
      <w:r w:rsidRPr="008F6C28">
        <w:rPr>
          <w:rFonts w:ascii="Arial" w:eastAsia="Calibri" w:hAnsi="Arial" w:cs="Arial"/>
          <w:b/>
          <w:sz w:val="22"/>
          <w:szCs w:val="22"/>
          <w:lang w:val="en-GB"/>
        </w:rPr>
        <w:tab/>
        <w:t>Mr R A Lees (DA) to ask the Minister of Finance:</w:t>
      </w:r>
    </w:p>
    <w:p w:rsidR="008F6C28" w:rsidRDefault="008F6C28" w:rsidP="008F6C28">
      <w:pPr>
        <w:spacing w:before="100" w:beforeAutospacing="1" w:after="100" w:afterAutospacing="1"/>
        <w:ind w:left="720"/>
        <w:jc w:val="both"/>
        <w:rPr>
          <w:rFonts w:ascii="Arial" w:eastAsia="Calibri" w:hAnsi="Arial" w:cs="Arial"/>
          <w:sz w:val="22"/>
          <w:szCs w:val="22"/>
          <w:lang w:val="en-GB"/>
        </w:rPr>
      </w:pPr>
      <w:r w:rsidRPr="008F6C28">
        <w:rPr>
          <w:rFonts w:ascii="Arial" w:eastAsia="Calibri" w:hAnsi="Arial" w:cs="Arial"/>
          <w:color w:val="000000"/>
          <w:sz w:val="22"/>
          <w:szCs w:val="22"/>
          <w:lang w:val="en-GB" w:eastAsia="en-ZA"/>
        </w:rPr>
        <w:t xml:space="preserve">What (a) amount did each state-owned entity borrow from any entity in China (i) in each of the past three financial years and (ii) since 1 April 2018, (b) is the name of the lender of each </w:t>
      </w:r>
      <w:r w:rsidRPr="008F6C28">
        <w:rPr>
          <w:rFonts w:ascii="Arial" w:eastAsia="Calibri" w:hAnsi="Arial" w:cs="Arial"/>
          <w:sz w:val="22"/>
          <w:szCs w:val="22"/>
          <w:lang w:val="en-GB"/>
        </w:rPr>
        <w:t>loan</w:t>
      </w:r>
      <w:r w:rsidRPr="008F6C28">
        <w:rPr>
          <w:rFonts w:ascii="Arial" w:eastAsia="Calibri" w:hAnsi="Arial" w:cs="Arial"/>
          <w:color w:val="000000"/>
          <w:sz w:val="22"/>
          <w:szCs w:val="22"/>
          <w:lang w:val="en-GB" w:eastAsia="en-ZA"/>
        </w:rPr>
        <w:t>, (c) conditions are attached to each loan and (d) are the repayment periods for each loan in each case</w:t>
      </w:r>
      <w:r w:rsidRPr="008F6C28">
        <w:rPr>
          <w:rFonts w:ascii="Arial" w:eastAsia="Calibri" w:hAnsi="Arial" w:cs="Arial"/>
          <w:sz w:val="22"/>
          <w:szCs w:val="22"/>
          <w:lang w:val="en-GB"/>
        </w:rPr>
        <w:t>?</w:t>
      </w:r>
      <w:r w:rsidRPr="008F6C28">
        <w:rPr>
          <w:rFonts w:ascii="Arial" w:eastAsia="Calibri" w:hAnsi="Arial" w:cs="Arial"/>
          <w:sz w:val="22"/>
          <w:szCs w:val="22"/>
          <w:lang w:val="en-GB"/>
        </w:rPr>
        <w:tab/>
      </w:r>
      <w:r w:rsidRPr="008F6C28">
        <w:rPr>
          <w:rFonts w:ascii="Arial" w:eastAsia="Calibri" w:hAnsi="Arial" w:cs="Arial"/>
          <w:sz w:val="22"/>
          <w:szCs w:val="22"/>
          <w:lang w:val="en-GB"/>
        </w:rPr>
        <w:tab/>
      </w:r>
    </w:p>
    <w:p w:rsidR="008F6C28" w:rsidRPr="008F6C28" w:rsidRDefault="008F6C28" w:rsidP="008F6C28">
      <w:pPr>
        <w:spacing w:before="100" w:beforeAutospacing="1" w:after="100" w:afterAutospacing="1"/>
        <w:ind w:left="720"/>
        <w:jc w:val="both"/>
        <w:rPr>
          <w:rFonts w:ascii="Arial" w:eastAsia="Calibri" w:hAnsi="Arial" w:cs="Arial"/>
          <w:sz w:val="22"/>
          <w:szCs w:val="22"/>
          <w:lang w:val="en-GB"/>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8F6C28">
        <w:rPr>
          <w:rFonts w:ascii="Arial" w:eastAsia="Calibri" w:hAnsi="Arial" w:cs="Arial"/>
          <w:sz w:val="22"/>
          <w:szCs w:val="22"/>
          <w:lang w:val="en-GB"/>
        </w:rPr>
        <w:tab/>
      </w:r>
      <w:r w:rsidRPr="008F6C28">
        <w:rPr>
          <w:rFonts w:ascii="Arial" w:eastAsia="Calibri" w:hAnsi="Arial" w:cs="Arial"/>
          <w:sz w:val="22"/>
          <w:szCs w:val="22"/>
          <w:lang w:val="en-GB"/>
        </w:rPr>
        <w:tab/>
      </w:r>
      <w:r w:rsidRPr="008F6C28">
        <w:rPr>
          <w:rFonts w:ascii="Arial" w:eastAsia="Calibri" w:hAnsi="Arial" w:cs="Arial"/>
          <w:sz w:val="22"/>
          <w:szCs w:val="22"/>
          <w:lang w:val="en-GB"/>
        </w:rPr>
        <w:tab/>
      </w:r>
      <w:r w:rsidRPr="008F6C28">
        <w:rPr>
          <w:rFonts w:ascii="Arial" w:eastAsia="Calibri" w:hAnsi="Arial" w:cs="Arial"/>
          <w:sz w:val="22"/>
          <w:szCs w:val="22"/>
          <w:lang w:val="en-GB"/>
        </w:rPr>
        <w:tab/>
      </w:r>
      <w:bookmarkStart w:id="0" w:name="_GoBack"/>
      <w:r w:rsidRPr="008F6C28">
        <w:rPr>
          <w:rFonts w:ascii="Arial" w:hAnsi="Arial" w:cs="Arial"/>
          <w:sz w:val="22"/>
          <w:szCs w:val="22"/>
          <w:lang w:val="en-GB"/>
        </w:rPr>
        <w:t>NW2794E</w:t>
      </w:r>
      <w:bookmarkEnd w:id="0"/>
    </w:p>
    <w:p w:rsidR="001433AE" w:rsidRDefault="001433AE" w:rsidP="004709BD">
      <w:pPr>
        <w:spacing w:before="100" w:beforeAutospacing="1" w:after="100" w:afterAutospacing="1" w:line="360" w:lineRule="auto"/>
        <w:jc w:val="both"/>
        <w:outlineLvl w:val="0"/>
        <w:rPr>
          <w:rFonts w:ascii="Arial" w:hAnsi="Arial" w:cs="Arial"/>
          <w:sz w:val="22"/>
          <w:szCs w:val="22"/>
        </w:rPr>
      </w:pPr>
      <w:r w:rsidRPr="008F6C28">
        <w:rPr>
          <w:rFonts w:ascii="Arial" w:hAnsi="Arial" w:cs="Arial"/>
          <w:b/>
          <w:sz w:val="22"/>
          <w:szCs w:val="22"/>
        </w:rPr>
        <w:t>REPLY</w:t>
      </w:r>
      <w:r w:rsidRPr="008F6C28">
        <w:rPr>
          <w:rFonts w:ascii="Arial" w:hAnsi="Arial" w:cs="Arial"/>
          <w:sz w:val="22"/>
          <w:szCs w:val="22"/>
        </w:rPr>
        <w:t>:</w:t>
      </w:r>
    </w:p>
    <w:p w:rsidR="00410C21" w:rsidRPr="006A7ACC" w:rsidRDefault="00410C21" w:rsidP="004709BD">
      <w:pPr>
        <w:spacing w:before="100" w:beforeAutospacing="1" w:after="100" w:afterAutospacing="1" w:line="360" w:lineRule="auto"/>
        <w:jc w:val="both"/>
        <w:outlineLvl w:val="0"/>
        <w:rPr>
          <w:rFonts w:ascii="Arial" w:hAnsi="Arial" w:cs="Arial"/>
          <w:b/>
          <w:sz w:val="22"/>
          <w:szCs w:val="22"/>
        </w:rPr>
      </w:pPr>
      <w:r w:rsidRPr="006A7ACC">
        <w:rPr>
          <w:rFonts w:ascii="Arial" w:hAnsi="Arial" w:cs="Arial"/>
          <w:b/>
          <w:sz w:val="22"/>
          <w:szCs w:val="22"/>
        </w:rPr>
        <w:t>ASB</w:t>
      </w:r>
    </w:p>
    <w:p w:rsidR="004F43FB" w:rsidRDefault="00AC5F1C" w:rsidP="00700F42">
      <w:pPr>
        <w:spacing w:line="360" w:lineRule="auto"/>
        <w:jc w:val="both"/>
        <w:rPr>
          <w:rFonts w:ascii="Arial" w:hAnsi="Arial" w:cs="Arial"/>
          <w:sz w:val="22"/>
          <w:szCs w:val="22"/>
        </w:rPr>
      </w:pPr>
      <w:r>
        <w:rPr>
          <w:rFonts w:ascii="Arial" w:hAnsi="Arial" w:cs="Arial"/>
          <w:sz w:val="22"/>
          <w:szCs w:val="22"/>
        </w:rPr>
        <w:t>The Accounting Standards Board has no loans from any entity in China, nor has it had any loans during the past three years.</w:t>
      </w:r>
    </w:p>
    <w:p w:rsidR="00262F05" w:rsidRDefault="00262F05" w:rsidP="00262F05">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410C21" w:rsidRDefault="00410C21" w:rsidP="00262F05">
      <w:pPr>
        <w:tabs>
          <w:tab w:val="left" w:pos="432"/>
          <w:tab w:val="left" w:pos="864"/>
        </w:tabs>
        <w:spacing w:line="360" w:lineRule="auto"/>
        <w:ind w:left="430" w:hanging="430"/>
        <w:jc w:val="both"/>
        <w:rPr>
          <w:rFonts w:ascii="Arial" w:hAnsi="Arial" w:cs="Arial"/>
          <w:sz w:val="22"/>
          <w:szCs w:val="22"/>
        </w:rPr>
      </w:pPr>
    </w:p>
    <w:p w:rsidR="00410C21" w:rsidRPr="006A7ACC" w:rsidRDefault="00410C21" w:rsidP="00262F05">
      <w:pPr>
        <w:tabs>
          <w:tab w:val="left" w:pos="432"/>
          <w:tab w:val="left" w:pos="864"/>
        </w:tabs>
        <w:spacing w:line="360" w:lineRule="auto"/>
        <w:ind w:left="430" w:hanging="430"/>
        <w:jc w:val="both"/>
        <w:rPr>
          <w:rFonts w:ascii="Arial" w:hAnsi="Arial" w:cs="Arial"/>
          <w:b/>
          <w:sz w:val="22"/>
          <w:szCs w:val="22"/>
        </w:rPr>
      </w:pPr>
      <w:r w:rsidRPr="006A7ACC">
        <w:rPr>
          <w:rFonts w:ascii="Arial" w:hAnsi="Arial" w:cs="Arial"/>
          <w:b/>
          <w:sz w:val="22"/>
          <w:szCs w:val="22"/>
        </w:rPr>
        <w:t>CBDA</w:t>
      </w:r>
    </w:p>
    <w:p w:rsidR="00410C21" w:rsidRDefault="00410C21" w:rsidP="00262F05">
      <w:pPr>
        <w:tabs>
          <w:tab w:val="left" w:pos="432"/>
          <w:tab w:val="left" w:pos="864"/>
        </w:tabs>
        <w:spacing w:line="360" w:lineRule="auto"/>
        <w:ind w:left="430" w:hanging="430"/>
        <w:jc w:val="both"/>
        <w:rPr>
          <w:rFonts w:ascii="Arial" w:hAnsi="Arial" w:cs="Arial"/>
          <w:sz w:val="22"/>
          <w:szCs w:val="22"/>
        </w:rPr>
      </w:pPr>
    </w:p>
    <w:p w:rsidR="00410C21" w:rsidRDefault="00410C21" w:rsidP="00262F05">
      <w:pPr>
        <w:pBdr>
          <w:bottom w:val="single" w:sz="6" w:space="1" w:color="auto"/>
        </w:pBdr>
        <w:tabs>
          <w:tab w:val="left" w:pos="432"/>
          <w:tab w:val="left" w:pos="864"/>
        </w:tabs>
        <w:spacing w:line="360" w:lineRule="auto"/>
        <w:ind w:left="430" w:hanging="430"/>
        <w:jc w:val="both"/>
        <w:rPr>
          <w:rFonts w:ascii="Arial" w:hAnsi="Arial" w:cs="Arial"/>
          <w:sz w:val="22"/>
          <w:szCs w:val="22"/>
        </w:rPr>
      </w:pPr>
      <w:r>
        <w:rPr>
          <w:rFonts w:ascii="Arial" w:hAnsi="Arial" w:cs="Arial"/>
          <w:sz w:val="22"/>
          <w:szCs w:val="22"/>
        </w:rPr>
        <w:t>Co-operative Banks Development Agency has never borrowed from any entity from China.</w:t>
      </w:r>
    </w:p>
    <w:p w:rsidR="00410C21" w:rsidRDefault="00410C21" w:rsidP="00262F05">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410C21" w:rsidRDefault="00410C21" w:rsidP="00262F05">
      <w:pPr>
        <w:tabs>
          <w:tab w:val="left" w:pos="432"/>
          <w:tab w:val="left" w:pos="864"/>
        </w:tabs>
        <w:spacing w:line="360" w:lineRule="auto"/>
        <w:ind w:left="430" w:hanging="430"/>
        <w:jc w:val="both"/>
        <w:rPr>
          <w:rFonts w:ascii="Arial" w:hAnsi="Arial" w:cs="Arial"/>
          <w:sz w:val="22"/>
          <w:szCs w:val="22"/>
        </w:rPr>
      </w:pPr>
    </w:p>
    <w:p w:rsidR="00410C21" w:rsidRPr="006A7ACC" w:rsidRDefault="00410C21" w:rsidP="00262F05">
      <w:pPr>
        <w:tabs>
          <w:tab w:val="left" w:pos="432"/>
          <w:tab w:val="left" w:pos="864"/>
        </w:tabs>
        <w:spacing w:line="360" w:lineRule="auto"/>
        <w:ind w:left="430" w:hanging="430"/>
        <w:jc w:val="both"/>
        <w:rPr>
          <w:rFonts w:ascii="Arial" w:hAnsi="Arial" w:cs="Arial"/>
          <w:b/>
          <w:sz w:val="22"/>
          <w:szCs w:val="22"/>
        </w:rPr>
      </w:pPr>
      <w:r w:rsidRPr="006A7ACC">
        <w:rPr>
          <w:rFonts w:ascii="Arial" w:hAnsi="Arial" w:cs="Arial"/>
          <w:b/>
          <w:sz w:val="22"/>
          <w:szCs w:val="22"/>
        </w:rPr>
        <w:t>DBSA</w:t>
      </w:r>
    </w:p>
    <w:p w:rsidR="00410C21" w:rsidRPr="00410C21" w:rsidRDefault="00410C21" w:rsidP="00410C21">
      <w:pPr>
        <w:tabs>
          <w:tab w:val="left" w:pos="432"/>
          <w:tab w:val="left" w:pos="864"/>
        </w:tabs>
        <w:spacing w:line="360" w:lineRule="auto"/>
        <w:ind w:left="430" w:hanging="430"/>
        <w:jc w:val="both"/>
        <w:rPr>
          <w:rFonts w:ascii="Arial" w:hAnsi="Arial" w:cs="Arial"/>
          <w:sz w:val="22"/>
          <w:szCs w:val="22"/>
        </w:rPr>
      </w:pPr>
    </w:p>
    <w:p w:rsidR="00410C21" w:rsidRPr="00410C21" w:rsidRDefault="00410C21" w:rsidP="00410C21">
      <w:pPr>
        <w:tabs>
          <w:tab w:val="left" w:pos="432"/>
          <w:tab w:val="left" w:pos="864"/>
        </w:tabs>
        <w:spacing w:line="360" w:lineRule="auto"/>
        <w:ind w:left="430" w:hanging="430"/>
        <w:jc w:val="both"/>
        <w:rPr>
          <w:rFonts w:ascii="Arial" w:hAnsi="Arial" w:cs="Arial"/>
          <w:sz w:val="22"/>
          <w:szCs w:val="22"/>
        </w:rPr>
      </w:pPr>
      <w:r w:rsidRPr="00410C21">
        <w:rPr>
          <w:rFonts w:ascii="Arial" w:hAnsi="Arial" w:cs="Arial"/>
          <w:sz w:val="22"/>
          <w:szCs w:val="22"/>
        </w:rPr>
        <w:t>a)</w:t>
      </w:r>
      <w:r w:rsidRPr="00410C21">
        <w:rPr>
          <w:rFonts w:ascii="Arial" w:hAnsi="Arial" w:cs="Arial"/>
          <w:sz w:val="22"/>
          <w:szCs w:val="22"/>
        </w:rPr>
        <w:tab/>
        <w:t>(i)</w:t>
      </w:r>
      <w:r w:rsidRPr="00410C21">
        <w:rPr>
          <w:rFonts w:ascii="Arial" w:hAnsi="Arial" w:cs="Arial"/>
          <w:sz w:val="22"/>
          <w:szCs w:val="22"/>
        </w:rPr>
        <w:tab/>
        <w:t>NONE</w:t>
      </w:r>
    </w:p>
    <w:p w:rsidR="00410C21" w:rsidRPr="00410C21" w:rsidRDefault="00410C21" w:rsidP="00410C21">
      <w:pPr>
        <w:numPr>
          <w:ilvl w:val="0"/>
          <w:numId w:val="4"/>
        </w:numPr>
        <w:tabs>
          <w:tab w:val="left" w:pos="432"/>
          <w:tab w:val="left" w:pos="864"/>
        </w:tabs>
        <w:spacing w:line="360" w:lineRule="auto"/>
        <w:jc w:val="both"/>
        <w:rPr>
          <w:rFonts w:ascii="Arial" w:hAnsi="Arial" w:cs="Arial"/>
          <w:sz w:val="22"/>
          <w:szCs w:val="22"/>
        </w:rPr>
      </w:pPr>
      <w:r w:rsidRPr="00410C21">
        <w:rPr>
          <w:rFonts w:ascii="Arial" w:hAnsi="Arial" w:cs="Arial"/>
          <w:sz w:val="22"/>
          <w:szCs w:val="22"/>
        </w:rPr>
        <w:t>N/A</w:t>
      </w:r>
    </w:p>
    <w:p w:rsidR="00410C21" w:rsidRPr="00410C21" w:rsidRDefault="00410C21" w:rsidP="00410C21">
      <w:pPr>
        <w:tabs>
          <w:tab w:val="left" w:pos="432"/>
          <w:tab w:val="left" w:pos="864"/>
        </w:tabs>
        <w:spacing w:line="360" w:lineRule="auto"/>
        <w:ind w:left="430" w:hanging="430"/>
        <w:jc w:val="both"/>
        <w:rPr>
          <w:rFonts w:ascii="Arial" w:hAnsi="Arial" w:cs="Arial"/>
          <w:sz w:val="22"/>
          <w:szCs w:val="22"/>
        </w:rPr>
      </w:pPr>
      <w:r w:rsidRPr="00410C21">
        <w:rPr>
          <w:rFonts w:ascii="Arial" w:hAnsi="Arial" w:cs="Arial"/>
          <w:sz w:val="22"/>
          <w:szCs w:val="22"/>
        </w:rPr>
        <w:t>b)</w:t>
      </w:r>
      <w:r w:rsidRPr="00410C21">
        <w:rPr>
          <w:rFonts w:ascii="Arial" w:hAnsi="Arial" w:cs="Arial"/>
          <w:sz w:val="22"/>
          <w:szCs w:val="22"/>
        </w:rPr>
        <w:tab/>
        <w:t>N/A</w:t>
      </w:r>
      <w:r w:rsidRPr="00410C21">
        <w:rPr>
          <w:rFonts w:ascii="Arial" w:hAnsi="Arial" w:cs="Arial"/>
          <w:sz w:val="22"/>
          <w:szCs w:val="22"/>
        </w:rPr>
        <w:tab/>
      </w:r>
    </w:p>
    <w:p w:rsidR="00410C21" w:rsidRPr="00410C21" w:rsidRDefault="00410C21" w:rsidP="00410C21">
      <w:pPr>
        <w:tabs>
          <w:tab w:val="left" w:pos="432"/>
          <w:tab w:val="left" w:pos="864"/>
        </w:tabs>
        <w:spacing w:line="360" w:lineRule="auto"/>
        <w:ind w:left="430" w:hanging="430"/>
        <w:jc w:val="both"/>
        <w:rPr>
          <w:rFonts w:ascii="Arial" w:hAnsi="Arial" w:cs="Arial"/>
          <w:sz w:val="22"/>
          <w:szCs w:val="22"/>
        </w:rPr>
      </w:pPr>
      <w:r w:rsidRPr="00410C21">
        <w:rPr>
          <w:rFonts w:ascii="Arial" w:hAnsi="Arial" w:cs="Arial"/>
          <w:sz w:val="22"/>
          <w:szCs w:val="22"/>
        </w:rPr>
        <w:t>(c)</w:t>
      </w:r>
      <w:r w:rsidRPr="00410C21">
        <w:rPr>
          <w:rFonts w:ascii="Arial" w:hAnsi="Arial" w:cs="Arial"/>
          <w:sz w:val="22"/>
          <w:szCs w:val="22"/>
        </w:rPr>
        <w:tab/>
        <w:t>N/A</w:t>
      </w:r>
    </w:p>
    <w:p w:rsidR="00410C21" w:rsidRPr="00410C21" w:rsidRDefault="00410C21" w:rsidP="00410C21">
      <w:pPr>
        <w:tabs>
          <w:tab w:val="left" w:pos="432"/>
          <w:tab w:val="left" w:pos="864"/>
        </w:tabs>
        <w:spacing w:line="360" w:lineRule="auto"/>
        <w:ind w:left="430" w:hanging="430"/>
        <w:jc w:val="both"/>
        <w:rPr>
          <w:rFonts w:ascii="Arial" w:hAnsi="Arial" w:cs="Arial"/>
          <w:sz w:val="22"/>
          <w:szCs w:val="22"/>
        </w:rPr>
      </w:pPr>
      <w:r w:rsidRPr="00410C21">
        <w:rPr>
          <w:rFonts w:ascii="Arial" w:hAnsi="Arial" w:cs="Arial"/>
          <w:sz w:val="22"/>
          <w:szCs w:val="22"/>
        </w:rPr>
        <w:t>(d)</w:t>
      </w:r>
      <w:r w:rsidRPr="00410C21">
        <w:rPr>
          <w:rFonts w:ascii="Arial" w:hAnsi="Arial" w:cs="Arial"/>
          <w:sz w:val="22"/>
          <w:szCs w:val="22"/>
        </w:rPr>
        <w:tab/>
        <w:t>N/A</w:t>
      </w:r>
    </w:p>
    <w:p w:rsidR="00410C21" w:rsidRDefault="00410C21" w:rsidP="00262F05">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410C21" w:rsidRDefault="00410C21" w:rsidP="00262F05">
      <w:pPr>
        <w:tabs>
          <w:tab w:val="left" w:pos="432"/>
          <w:tab w:val="left" w:pos="864"/>
        </w:tabs>
        <w:spacing w:line="360" w:lineRule="auto"/>
        <w:ind w:left="430" w:hanging="430"/>
        <w:jc w:val="both"/>
        <w:rPr>
          <w:rFonts w:ascii="Arial" w:hAnsi="Arial" w:cs="Arial"/>
          <w:sz w:val="22"/>
          <w:szCs w:val="22"/>
        </w:rPr>
      </w:pPr>
    </w:p>
    <w:p w:rsidR="00410C21" w:rsidRPr="006A7ACC" w:rsidRDefault="00410C21" w:rsidP="00262F05">
      <w:pPr>
        <w:tabs>
          <w:tab w:val="left" w:pos="432"/>
          <w:tab w:val="left" w:pos="864"/>
        </w:tabs>
        <w:spacing w:line="360" w:lineRule="auto"/>
        <w:ind w:left="430" w:hanging="430"/>
        <w:jc w:val="both"/>
        <w:rPr>
          <w:rFonts w:ascii="Arial" w:hAnsi="Arial" w:cs="Arial"/>
          <w:b/>
          <w:sz w:val="22"/>
          <w:szCs w:val="22"/>
        </w:rPr>
      </w:pPr>
      <w:r w:rsidRPr="006A7ACC">
        <w:rPr>
          <w:rFonts w:ascii="Arial" w:hAnsi="Arial" w:cs="Arial"/>
          <w:b/>
          <w:sz w:val="22"/>
          <w:szCs w:val="22"/>
        </w:rPr>
        <w:t>FAIS OMBUD</w:t>
      </w:r>
    </w:p>
    <w:p w:rsidR="00410C21" w:rsidRDefault="006A7ACC" w:rsidP="00262F05">
      <w:pPr>
        <w:tabs>
          <w:tab w:val="left" w:pos="432"/>
          <w:tab w:val="left" w:pos="864"/>
        </w:tabs>
        <w:spacing w:line="360" w:lineRule="auto"/>
        <w:ind w:left="430" w:hanging="430"/>
        <w:jc w:val="both"/>
        <w:rPr>
          <w:rFonts w:ascii="Arial" w:hAnsi="Arial" w:cs="Arial"/>
          <w:sz w:val="22"/>
          <w:szCs w:val="22"/>
        </w:rPr>
      </w:pPr>
      <w:r w:rsidRPr="006A7ACC">
        <w:rPr>
          <w:rFonts w:ascii="Arial" w:hAnsi="Arial" w:cs="Arial"/>
          <w:sz w:val="22"/>
          <w:szCs w:val="22"/>
        </w:rPr>
        <w:t>Zero</w:t>
      </w:r>
    </w:p>
    <w:p w:rsidR="00410C21" w:rsidRPr="006A7ACC" w:rsidRDefault="00410C21" w:rsidP="00262F05">
      <w:pPr>
        <w:tabs>
          <w:tab w:val="left" w:pos="432"/>
          <w:tab w:val="left" w:pos="864"/>
        </w:tabs>
        <w:spacing w:line="360" w:lineRule="auto"/>
        <w:ind w:left="430" w:hanging="430"/>
        <w:jc w:val="both"/>
        <w:rPr>
          <w:rFonts w:ascii="Arial" w:hAnsi="Arial" w:cs="Arial"/>
          <w:b/>
          <w:sz w:val="22"/>
          <w:szCs w:val="22"/>
        </w:rPr>
      </w:pPr>
      <w:r w:rsidRPr="006A7ACC">
        <w:rPr>
          <w:rFonts w:ascii="Arial" w:hAnsi="Arial" w:cs="Arial"/>
          <w:b/>
          <w:sz w:val="22"/>
          <w:szCs w:val="22"/>
        </w:rPr>
        <w:lastRenderedPageBreak/>
        <w:t>FIC</w:t>
      </w:r>
    </w:p>
    <w:p w:rsidR="00410C21" w:rsidRPr="00410C21" w:rsidRDefault="00410C21" w:rsidP="00410C21">
      <w:pPr>
        <w:tabs>
          <w:tab w:val="left" w:pos="432"/>
          <w:tab w:val="left" w:pos="864"/>
        </w:tabs>
        <w:spacing w:line="360" w:lineRule="auto"/>
        <w:ind w:left="430" w:hanging="430"/>
        <w:jc w:val="both"/>
        <w:rPr>
          <w:rFonts w:ascii="Arial" w:hAnsi="Arial" w:cs="Arial"/>
          <w:sz w:val="22"/>
          <w:szCs w:val="22"/>
        </w:rPr>
      </w:pPr>
    </w:p>
    <w:p w:rsidR="00410C21" w:rsidRPr="00410C21" w:rsidRDefault="00410C21" w:rsidP="00410C21">
      <w:pPr>
        <w:tabs>
          <w:tab w:val="left" w:pos="432"/>
          <w:tab w:val="left" w:pos="851"/>
        </w:tabs>
        <w:spacing w:line="360" w:lineRule="auto"/>
        <w:ind w:left="430" w:hanging="430"/>
        <w:jc w:val="both"/>
        <w:rPr>
          <w:rFonts w:ascii="Arial" w:hAnsi="Arial" w:cs="Arial"/>
          <w:sz w:val="22"/>
          <w:szCs w:val="22"/>
        </w:rPr>
      </w:pPr>
      <w:r w:rsidRPr="00410C21">
        <w:rPr>
          <w:rFonts w:ascii="Arial" w:hAnsi="Arial" w:cs="Arial"/>
          <w:sz w:val="22"/>
          <w:szCs w:val="22"/>
        </w:rPr>
        <w:t>(a)(i)(ii)  No amount was borrowed from any entity in China in each of the past three financial years  since 1 April 2018.</w:t>
      </w:r>
    </w:p>
    <w:p w:rsidR="00410C21" w:rsidRPr="00410C21" w:rsidRDefault="00410C21" w:rsidP="00410C21">
      <w:pPr>
        <w:tabs>
          <w:tab w:val="left" w:pos="432"/>
          <w:tab w:val="left" w:pos="864"/>
        </w:tabs>
        <w:spacing w:line="360" w:lineRule="auto"/>
        <w:ind w:left="430" w:hanging="430"/>
        <w:jc w:val="both"/>
        <w:rPr>
          <w:rFonts w:ascii="Arial" w:hAnsi="Arial" w:cs="Arial"/>
          <w:sz w:val="22"/>
          <w:szCs w:val="22"/>
        </w:rPr>
      </w:pPr>
      <w:r w:rsidRPr="00410C21">
        <w:rPr>
          <w:rFonts w:ascii="Arial" w:hAnsi="Arial" w:cs="Arial"/>
          <w:sz w:val="22"/>
          <w:szCs w:val="22"/>
        </w:rPr>
        <w:t>(b)(c)(d) Not relevant to the Financial Intelligence Centre</w:t>
      </w:r>
    </w:p>
    <w:p w:rsidR="00410C21" w:rsidRDefault="00410C21" w:rsidP="00262F05">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410C21" w:rsidRDefault="00410C21" w:rsidP="00262F05">
      <w:pPr>
        <w:tabs>
          <w:tab w:val="left" w:pos="432"/>
          <w:tab w:val="left" w:pos="864"/>
        </w:tabs>
        <w:spacing w:line="360" w:lineRule="auto"/>
        <w:ind w:left="430" w:hanging="430"/>
        <w:jc w:val="both"/>
        <w:rPr>
          <w:rFonts w:ascii="Arial" w:hAnsi="Arial" w:cs="Arial"/>
          <w:sz w:val="22"/>
          <w:szCs w:val="22"/>
        </w:rPr>
      </w:pPr>
    </w:p>
    <w:p w:rsidR="00410C21" w:rsidRPr="006A7ACC" w:rsidRDefault="00410C21" w:rsidP="00262F05">
      <w:pPr>
        <w:tabs>
          <w:tab w:val="left" w:pos="432"/>
          <w:tab w:val="left" w:pos="864"/>
        </w:tabs>
        <w:spacing w:line="360" w:lineRule="auto"/>
        <w:ind w:left="430" w:hanging="430"/>
        <w:jc w:val="both"/>
        <w:rPr>
          <w:rFonts w:ascii="Arial" w:hAnsi="Arial" w:cs="Arial"/>
          <w:b/>
          <w:sz w:val="22"/>
          <w:szCs w:val="22"/>
        </w:rPr>
      </w:pPr>
      <w:r w:rsidRPr="006A7ACC">
        <w:rPr>
          <w:rFonts w:ascii="Arial" w:hAnsi="Arial" w:cs="Arial"/>
          <w:b/>
          <w:sz w:val="22"/>
          <w:szCs w:val="22"/>
        </w:rPr>
        <w:t>FSCA</w:t>
      </w:r>
    </w:p>
    <w:p w:rsidR="00410C21" w:rsidRPr="00410C21" w:rsidRDefault="00410C21" w:rsidP="00410C21">
      <w:pPr>
        <w:tabs>
          <w:tab w:val="left" w:pos="432"/>
          <w:tab w:val="left" w:pos="864"/>
        </w:tabs>
        <w:spacing w:line="360" w:lineRule="auto"/>
        <w:ind w:left="430" w:hanging="430"/>
        <w:jc w:val="both"/>
        <w:rPr>
          <w:rFonts w:ascii="Arial" w:hAnsi="Arial" w:cs="Arial"/>
          <w:sz w:val="22"/>
          <w:szCs w:val="22"/>
        </w:rPr>
      </w:pPr>
    </w:p>
    <w:p w:rsidR="00410C21" w:rsidRPr="00410C21" w:rsidRDefault="00410C21" w:rsidP="00410C21">
      <w:pPr>
        <w:tabs>
          <w:tab w:val="left" w:pos="432"/>
          <w:tab w:val="left" w:pos="864"/>
        </w:tabs>
        <w:spacing w:line="360" w:lineRule="auto"/>
        <w:ind w:left="430" w:hanging="430"/>
        <w:jc w:val="both"/>
        <w:rPr>
          <w:rFonts w:ascii="Arial" w:hAnsi="Arial" w:cs="Arial"/>
          <w:sz w:val="22"/>
          <w:szCs w:val="22"/>
        </w:rPr>
      </w:pPr>
      <w:r w:rsidRPr="00410C21">
        <w:rPr>
          <w:rFonts w:ascii="Arial" w:hAnsi="Arial" w:cs="Arial"/>
          <w:sz w:val="22"/>
          <w:szCs w:val="22"/>
        </w:rPr>
        <w:t>Financial Sector Conduct Authority</w:t>
      </w:r>
    </w:p>
    <w:p w:rsidR="00410C21" w:rsidRPr="00410C21" w:rsidRDefault="00410C21" w:rsidP="00410C21">
      <w:pPr>
        <w:numPr>
          <w:ilvl w:val="0"/>
          <w:numId w:val="5"/>
        </w:numPr>
        <w:tabs>
          <w:tab w:val="left" w:pos="432"/>
          <w:tab w:val="left" w:pos="864"/>
        </w:tabs>
        <w:spacing w:line="360" w:lineRule="auto"/>
        <w:jc w:val="both"/>
        <w:rPr>
          <w:rFonts w:ascii="Arial" w:hAnsi="Arial" w:cs="Arial"/>
          <w:sz w:val="22"/>
          <w:szCs w:val="22"/>
        </w:rPr>
      </w:pPr>
      <w:r w:rsidRPr="00410C21">
        <w:rPr>
          <w:rFonts w:ascii="Arial" w:hAnsi="Arial" w:cs="Arial"/>
          <w:sz w:val="22"/>
          <w:szCs w:val="22"/>
        </w:rPr>
        <w:t>+(b) Not applicable</w:t>
      </w:r>
    </w:p>
    <w:p w:rsidR="00410C21" w:rsidRDefault="00410C21" w:rsidP="00262F05">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410C21" w:rsidRDefault="00410C21" w:rsidP="00262F05">
      <w:pPr>
        <w:tabs>
          <w:tab w:val="left" w:pos="432"/>
          <w:tab w:val="left" w:pos="864"/>
        </w:tabs>
        <w:spacing w:line="360" w:lineRule="auto"/>
        <w:ind w:left="430" w:hanging="430"/>
        <w:jc w:val="both"/>
        <w:rPr>
          <w:rFonts w:ascii="Arial" w:hAnsi="Arial" w:cs="Arial"/>
          <w:sz w:val="22"/>
          <w:szCs w:val="22"/>
        </w:rPr>
      </w:pPr>
    </w:p>
    <w:p w:rsidR="00410C21" w:rsidRPr="00700F42" w:rsidRDefault="00410C21" w:rsidP="00262F05">
      <w:pPr>
        <w:tabs>
          <w:tab w:val="left" w:pos="432"/>
          <w:tab w:val="left" w:pos="864"/>
        </w:tabs>
        <w:spacing w:line="360" w:lineRule="auto"/>
        <w:ind w:left="430" w:hanging="430"/>
        <w:jc w:val="both"/>
        <w:rPr>
          <w:rFonts w:ascii="Arial" w:hAnsi="Arial" w:cs="Arial"/>
          <w:b/>
          <w:sz w:val="22"/>
          <w:szCs w:val="22"/>
        </w:rPr>
      </w:pPr>
      <w:r w:rsidRPr="00700F42">
        <w:rPr>
          <w:rFonts w:ascii="Arial" w:hAnsi="Arial" w:cs="Arial"/>
          <w:b/>
          <w:sz w:val="22"/>
          <w:szCs w:val="22"/>
        </w:rPr>
        <w:t>GEPF</w:t>
      </w:r>
    </w:p>
    <w:p w:rsidR="00410C21" w:rsidRDefault="00700F42" w:rsidP="00262F05">
      <w:pPr>
        <w:tabs>
          <w:tab w:val="left" w:pos="432"/>
          <w:tab w:val="left" w:pos="864"/>
        </w:tabs>
        <w:spacing w:line="360" w:lineRule="auto"/>
        <w:ind w:left="430" w:hanging="430"/>
        <w:jc w:val="both"/>
        <w:rPr>
          <w:rFonts w:ascii="Arial" w:hAnsi="Arial" w:cs="Arial"/>
          <w:sz w:val="22"/>
          <w:szCs w:val="22"/>
        </w:rPr>
      </w:pPr>
      <w:r>
        <w:rPr>
          <w:rFonts w:ascii="Arial" w:hAnsi="Arial" w:cs="Arial"/>
          <w:sz w:val="22"/>
          <w:szCs w:val="22"/>
        </w:rPr>
        <w:t xml:space="preserve">The Government Employees Pension Fund has no loans from any entity in China. </w:t>
      </w:r>
    </w:p>
    <w:p w:rsidR="00410C21" w:rsidRDefault="00410C21" w:rsidP="00262F05">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410C21" w:rsidRDefault="00410C21" w:rsidP="00262F05">
      <w:pPr>
        <w:tabs>
          <w:tab w:val="left" w:pos="432"/>
          <w:tab w:val="left" w:pos="864"/>
        </w:tabs>
        <w:spacing w:line="360" w:lineRule="auto"/>
        <w:ind w:left="430" w:hanging="430"/>
        <w:jc w:val="both"/>
        <w:rPr>
          <w:rFonts w:ascii="Arial" w:hAnsi="Arial" w:cs="Arial"/>
          <w:sz w:val="22"/>
          <w:szCs w:val="22"/>
        </w:rPr>
      </w:pPr>
    </w:p>
    <w:p w:rsidR="00410C21" w:rsidRPr="006A7ACC" w:rsidRDefault="00410C21" w:rsidP="00262F05">
      <w:pPr>
        <w:tabs>
          <w:tab w:val="left" w:pos="432"/>
          <w:tab w:val="left" w:pos="864"/>
        </w:tabs>
        <w:spacing w:line="360" w:lineRule="auto"/>
        <w:ind w:left="430" w:hanging="430"/>
        <w:jc w:val="both"/>
        <w:rPr>
          <w:rFonts w:ascii="Arial" w:hAnsi="Arial" w:cs="Arial"/>
          <w:b/>
          <w:sz w:val="22"/>
          <w:szCs w:val="22"/>
        </w:rPr>
      </w:pPr>
      <w:r w:rsidRPr="006A7ACC">
        <w:rPr>
          <w:rFonts w:ascii="Arial" w:hAnsi="Arial" w:cs="Arial"/>
          <w:b/>
          <w:sz w:val="22"/>
          <w:szCs w:val="22"/>
        </w:rPr>
        <w:t>GPAA</w:t>
      </w:r>
    </w:p>
    <w:p w:rsidR="00410C21" w:rsidRDefault="00410C21" w:rsidP="00262F05">
      <w:pPr>
        <w:tabs>
          <w:tab w:val="left" w:pos="432"/>
          <w:tab w:val="left" w:pos="864"/>
        </w:tabs>
        <w:spacing w:line="360" w:lineRule="auto"/>
        <w:ind w:left="430" w:hanging="430"/>
        <w:jc w:val="both"/>
        <w:rPr>
          <w:rFonts w:ascii="Arial" w:hAnsi="Arial" w:cs="Arial"/>
          <w:sz w:val="22"/>
          <w:szCs w:val="22"/>
        </w:rPr>
      </w:pPr>
    </w:p>
    <w:p w:rsidR="00410C21" w:rsidRDefault="00410C21" w:rsidP="00262F05">
      <w:pPr>
        <w:tabs>
          <w:tab w:val="left" w:pos="432"/>
          <w:tab w:val="left" w:pos="864"/>
        </w:tabs>
        <w:spacing w:line="360" w:lineRule="auto"/>
        <w:ind w:left="430" w:hanging="430"/>
        <w:jc w:val="both"/>
        <w:rPr>
          <w:rFonts w:ascii="Arial" w:hAnsi="Arial" w:cs="Arial"/>
          <w:sz w:val="22"/>
          <w:szCs w:val="22"/>
        </w:rPr>
      </w:pPr>
      <w:r w:rsidRPr="00410C21">
        <w:rPr>
          <w:rFonts w:ascii="Arial" w:hAnsi="Arial" w:cs="Arial"/>
          <w:sz w:val="22"/>
          <w:szCs w:val="22"/>
        </w:rPr>
        <w:t>The Government Pensions Administration Agency (GPAA) never</w:t>
      </w:r>
      <w:r>
        <w:rPr>
          <w:rFonts w:ascii="Arial" w:hAnsi="Arial" w:cs="Arial"/>
          <w:sz w:val="22"/>
          <w:szCs w:val="22"/>
        </w:rPr>
        <w:t xml:space="preserve"> took any loans with any entity </w:t>
      </w:r>
      <w:r w:rsidRPr="00410C21">
        <w:rPr>
          <w:rFonts w:ascii="Arial" w:hAnsi="Arial" w:cs="Arial"/>
          <w:sz w:val="22"/>
          <w:szCs w:val="22"/>
        </w:rPr>
        <w:t xml:space="preserve">in China since 1 April 2018 and in the past 3 financial years.   </w:t>
      </w:r>
    </w:p>
    <w:p w:rsidR="00410C21" w:rsidRDefault="00410C21" w:rsidP="00262F05">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410C21" w:rsidRDefault="00410C21" w:rsidP="00262F05">
      <w:pPr>
        <w:tabs>
          <w:tab w:val="left" w:pos="432"/>
          <w:tab w:val="left" w:pos="864"/>
        </w:tabs>
        <w:spacing w:line="360" w:lineRule="auto"/>
        <w:ind w:left="430" w:hanging="430"/>
        <w:jc w:val="both"/>
        <w:rPr>
          <w:rFonts w:ascii="Arial" w:hAnsi="Arial" w:cs="Arial"/>
          <w:sz w:val="22"/>
          <w:szCs w:val="22"/>
        </w:rPr>
      </w:pPr>
    </w:p>
    <w:p w:rsidR="00410C21" w:rsidRPr="006A7ACC" w:rsidRDefault="00410C21" w:rsidP="00262F05">
      <w:pPr>
        <w:tabs>
          <w:tab w:val="left" w:pos="432"/>
          <w:tab w:val="left" w:pos="864"/>
        </w:tabs>
        <w:spacing w:line="360" w:lineRule="auto"/>
        <w:ind w:left="430" w:hanging="430"/>
        <w:jc w:val="both"/>
        <w:rPr>
          <w:rFonts w:ascii="Arial" w:hAnsi="Arial" w:cs="Arial"/>
          <w:b/>
          <w:sz w:val="22"/>
          <w:szCs w:val="22"/>
        </w:rPr>
      </w:pPr>
      <w:r w:rsidRPr="006A7ACC">
        <w:rPr>
          <w:rFonts w:ascii="Arial" w:hAnsi="Arial" w:cs="Arial"/>
          <w:b/>
          <w:sz w:val="22"/>
          <w:szCs w:val="22"/>
        </w:rPr>
        <w:t>LAND BANK</w:t>
      </w:r>
    </w:p>
    <w:p w:rsidR="00410C21" w:rsidRDefault="00410C21" w:rsidP="00262F05">
      <w:pPr>
        <w:tabs>
          <w:tab w:val="left" w:pos="432"/>
          <w:tab w:val="left" w:pos="864"/>
        </w:tabs>
        <w:spacing w:line="360" w:lineRule="auto"/>
        <w:ind w:left="430" w:hanging="430"/>
        <w:jc w:val="both"/>
        <w:rPr>
          <w:rFonts w:ascii="Arial" w:hAnsi="Arial" w:cs="Arial"/>
          <w:sz w:val="22"/>
          <w:szCs w:val="22"/>
        </w:rPr>
      </w:pPr>
    </w:p>
    <w:p w:rsidR="00410C21" w:rsidRPr="002D7EAB" w:rsidRDefault="00410C21" w:rsidP="00410C21">
      <w:pPr>
        <w:spacing w:line="276" w:lineRule="auto"/>
        <w:jc w:val="both"/>
        <w:rPr>
          <w:rFonts w:ascii="Arial" w:hAnsi="Arial" w:cs="Arial"/>
          <w:sz w:val="22"/>
          <w:szCs w:val="22"/>
        </w:rPr>
      </w:pPr>
      <w:r w:rsidRPr="002D7EAB">
        <w:rPr>
          <w:rFonts w:ascii="Arial" w:hAnsi="Arial" w:cs="Arial"/>
          <w:sz w:val="22"/>
          <w:szCs w:val="22"/>
        </w:rPr>
        <w:t>The Land Bank’s borrowings from entities in China in each of the past three financial years and since 1 April 2015 are summarised as follows:</w:t>
      </w:r>
    </w:p>
    <w:p w:rsidR="00410C21" w:rsidRDefault="00410C21" w:rsidP="00410C21">
      <w:pPr>
        <w:spacing w:line="276" w:lineRule="auto"/>
        <w:rPr>
          <w:rFonts w:ascii="Arial" w:hAnsi="Arial" w:cs="Arial"/>
          <w:szCs w:val="22"/>
        </w:rPr>
      </w:pPr>
    </w:p>
    <w:tbl>
      <w:tblPr>
        <w:tblStyle w:val="TableGrid"/>
        <w:tblW w:w="9918" w:type="dxa"/>
        <w:tblLook w:val="04A0" w:firstRow="1" w:lastRow="0" w:firstColumn="1" w:lastColumn="0" w:noHBand="0" w:noVBand="1"/>
      </w:tblPr>
      <w:tblGrid>
        <w:gridCol w:w="1221"/>
        <w:gridCol w:w="1408"/>
        <w:gridCol w:w="1874"/>
        <w:gridCol w:w="1295"/>
        <w:gridCol w:w="1646"/>
        <w:gridCol w:w="2474"/>
      </w:tblGrid>
      <w:tr w:rsidR="00410C21" w:rsidRPr="00212151" w:rsidTr="00B8188D">
        <w:trPr>
          <w:trHeight w:val="285"/>
        </w:trPr>
        <w:tc>
          <w:tcPr>
            <w:tcW w:w="1248" w:type="dxa"/>
            <w:vMerge w:val="restart"/>
          </w:tcPr>
          <w:p w:rsidR="00410C21" w:rsidRPr="00212151" w:rsidRDefault="00410C21" w:rsidP="00B8188D">
            <w:pPr>
              <w:spacing w:line="276" w:lineRule="auto"/>
              <w:rPr>
                <w:rFonts w:ascii="Arial" w:hAnsi="Arial" w:cs="Arial"/>
                <w:b/>
                <w:sz w:val="20"/>
              </w:rPr>
            </w:pPr>
            <w:r w:rsidRPr="00212151">
              <w:rPr>
                <w:rFonts w:ascii="Arial" w:hAnsi="Arial" w:cs="Arial"/>
                <w:b/>
                <w:sz w:val="20"/>
              </w:rPr>
              <w:t>Financial Year</w:t>
            </w:r>
          </w:p>
        </w:tc>
        <w:tc>
          <w:tcPr>
            <w:tcW w:w="1427" w:type="dxa"/>
            <w:vMerge w:val="restart"/>
          </w:tcPr>
          <w:p w:rsidR="00410C21" w:rsidRPr="00212151" w:rsidRDefault="00410C21" w:rsidP="00B8188D">
            <w:pPr>
              <w:spacing w:line="276" w:lineRule="auto"/>
              <w:rPr>
                <w:rFonts w:ascii="Arial" w:hAnsi="Arial" w:cs="Arial"/>
                <w:b/>
                <w:sz w:val="20"/>
              </w:rPr>
            </w:pPr>
            <w:r w:rsidRPr="00212151">
              <w:rPr>
                <w:rFonts w:ascii="Arial" w:hAnsi="Arial" w:cs="Arial"/>
                <w:b/>
                <w:sz w:val="20"/>
              </w:rPr>
              <w:t>Lender</w:t>
            </w:r>
          </w:p>
        </w:tc>
        <w:tc>
          <w:tcPr>
            <w:tcW w:w="1998" w:type="dxa"/>
            <w:vMerge w:val="restart"/>
          </w:tcPr>
          <w:p w:rsidR="00410C21" w:rsidRPr="00212151" w:rsidRDefault="00410C21" w:rsidP="00B8188D">
            <w:pPr>
              <w:spacing w:line="276" w:lineRule="auto"/>
              <w:rPr>
                <w:rFonts w:ascii="Arial" w:hAnsi="Arial" w:cs="Arial"/>
                <w:b/>
                <w:sz w:val="20"/>
              </w:rPr>
            </w:pPr>
            <w:r w:rsidRPr="00212151">
              <w:rPr>
                <w:rFonts w:ascii="Arial" w:hAnsi="Arial" w:cs="Arial"/>
                <w:b/>
                <w:sz w:val="20"/>
              </w:rPr>
              <w:t>Loan Conditions</w:t>
            </w:r>
          </w:p>
        </w:tc>
        <w:tc>
          <w:tcPr>
            <w:tcW w:w="769" w:type="dxa"/>
            <w:vMerge w:val="restart"/>
          </w:tcPr>
          <w:p w:rsidR="00410C21" w:rsidRPr="00212151" w:rsidRDefault="00410C21" w:rsidP="00B8188D">
            <w:pPr>
              <w:spacing w:line="276" w:lineRule="auto"/>
              <w:rPr>
                <w:rFonts w:ascii="Arial" w:hAnsi="Arial" w:cs="Arial"/>
                <w:b/>
                <w:sz w:val="20"/>
              </w:rPr>
            </w:pPr>
            <w:r w:rsidRPr="00212151">
              <w:rPr>
                <w:rFonts w:ascii="Arial" w:hAnsi="Arial" w:cs="Arial"/>
                <w:b/>
                <w:sz w:val="20"/>
              </w:rPr>
              <w:t>Repayment Period</w:t>
            </w:r>
          </w:p>
        </w:tc>
        <w:tc>
          <w:tcPr>
            <w:tcW w:w="4476" w:type="dxa"/>
            <w:gridSpan w:val="2"/>
          </w:tcPr>
          <w:p w:rsidR="00410C21" w:rsidRPr="00212151" w:rsidRDefault="00410C21" w:rsidP="00B8188D">
            <w:pPr>
              <w:spacing w:line="276" w:lineRule="auto"/>
              <w:jc w:val="center"/>
              <w:rPr>
                <w:rFonts w:ascii="Arial" w:hAnsi="Arial" w:cs="Arial"/>
                <w:b/>
                <w:sz w:val="20"/>
              </w:rPr>
            </w:pPr>
            <w:r w:rsidRPr="00212151">
              <w:rPr>
                <w:rFonts w:ascii="Arial" w:hAnsi="Arial" w:cs="Arial"/>
                <w:b/>
                <w:sz w:val="20"/>
              </w:rPr>
              <w:t>Loan</w:t>
            </w:r>
          </w:p>
        </w:tc>
      </w:tr>
      <w:tr w:rsidR="00410C21" w:rsidRPr="00212151" w:rsidTr="00B8188D">
        <w:trPr>
          <w:trHeight w:val="585"/>
        </w:trPr>
        <w:tc>
          <w:tcPr>
            <w:tcW w:w="1248" w:type="dxa"/>
            <w:vMerge/>
          </w:tcPr>
          <w:p w:rsidR="00410C21" w:rsidRPr="00212151" w:rsidRDefault="00410C21" w:rsidP="00B8188D">
            <w:pPr>
              <w:spacing w:line="276" w:lineRule="auto"/>
              <w:rPr>
                <w:rFonts w:ascii="Arial" w:hAnsi="Arial" w:cs="Arial"/>
                <w:b/>
                <w:sz w:val="20"/>
              </w:rPr>
            </w:pPr>
          </w:p>
        </w:tc>
        <w:tc>
          <w:tcPr>
            <w:tcW w:w="1427" w:type="dxa"/>
            <w:vMerge/>
          </w:tcPr>
          <w:p w:rsidR="00410C21" w:rsidRPr="00212151" w:rsidRDefault="00410C21" w:rsidP="00B8188D">
            <w:pPr>
              <w:spacing w:line="276" w:lineRule="auto"/>
              <w:rPr>
                <w:rFonts w:ascii="Arial" w:hAnsi="Arial" w:cs="Arial"/>
                <w:b/>
                <w:sz w:val="20"/>
              </w:rPr>
            </w:pPr>
          </w:p>
        </w:tc>
        <w:tc>
          <w:tcPr>
            <w:tcW w:w="1998" w:type="dxa"/>
            <w:vMerge/>
          </w:tcPr>
          <w:p w:rsidR="00410C21" w:rsidRPr="00212151" w:rsidRDefault="00410C21" w:rsidP="00B8188D">
            <w:pPr>
              <w:spacing w:line="276" w:lineRule="auto"/>
              <w:rPr>
                <w:rFonts w:ascii="Arial" w:hAnsi="Arial" w:cs="Arial"/>
                <w:b/>
                <w:sz w:val="20"/>
              </w:rPr>
            </w:pPr>
          </w:p>
        </w:tc>
        <w:tc>
          <w:tcPr>
            <w:tcW w:w="769" w:type="dxa"/>
            <w:vMerge/>
          </w:tcPr>
          <w:p w:rsidR="00410C21" w:rsidRPr="00212151" w:rsidRDefault="00410C21" w:rsidP="00B8188D">
            <w:pPr>
              <w:spacing w:line="276" w:lineRule="auto"/>
              <w:rPr>
                <w:rFonts w:ascii="Arial" w:hAnsi="Arial" w:cs="Arial"/>
                <w:b/>
                <w:sz w:val="20"/>
              </w:rPr>
            </w:pPr>
          </w:p>
        </w:tc>
        <w:tc>
          <w:tcPr>
            <w:tcW w:w="1783" w:type="dxa"/>
          </w:tcPr>
          <w:p w:rsidR="00410C21" w:rsidRPr="00212151" w:rsidRDefault="00410C21" w:rsidP="00B8188D">
            <w:pPr>
              <w:spacing w:line="276" w:lineRule="auto"/>
              <w:rPr>
                <w:rFonts w:ascii="Arial" w:hAnsi="Arial" w:cs="Arial"/>
                <w:b/>
                <w:sz w:val="20"/>
              </w:rPr>
            </w:pPr>
            <w:r w:rsidRPr="00212151">
              <w:rPr>
                <w:rFonts w:ascii="Arial" w:hAnsi="Arial" w:cs="Arial"/>
                <w:b/>
                <w:sz w:val="20"/>
              </w:rPr>
              <w:t>Amount</w:t>
            </w:r>
          </w:p>
        </w:tc>
        <w:tc>
          <w:tcPr>
            <w:tcW w:w="2693" w:type="dxa"/>
          </w:tcPr>
          <w:p w:rsidR="00410C21" w:rsidRPr="00212151" w:rsidRDefault="00410C21" w:rsidP="00B8188D">
            <w:pPr>
              <w:spacing w:line="276" w:lineRule="auto"/>
              <w:rPr>
                <w:rFonts w:ascii="Arial" w:hAnsi="Arial" w:cs="Arial"/>
                <w:b/>
                <w:sz w:val="20"/>
              </w:rPr>
            </w:pPr>
            <w:r w:rsidRPr="00212151">
              <w:rPr>
                <w:rFonts w:ascii="Arial" w:hAnsi="Arial" w:cs="Arial"/>
                <w:b/>
                <w:sz w:val="20"/>
              </w:rPr>
              <w:t>Outstanding</w:t>
            </w:r>
          </w:p>
        </w:tc>
      </w:tr>
      <w:tr w:rsidR="00410C21" w:rsidRPr="00212151" w:rsidTr="00B8188D">
        <w:trPr>
          <w:trHeight w:val="1409"/>
        </w:trPr>
        <w:tc>
          <w:tcPr>
            <w:tcW w:w="1248" w:type="dxa"/>
          </w:tcPr>
          <w:p w:rsidR="00410C21" w:rsidRPr="00212151" w:rsidRDefault="00410C21" w:rsidP="00B8188D">
            <w:pPr>
              <w:spacing w:line="276" w:lineRule="auto"/>
              <w:rPr>
                <w:rFonts w:ascii="Arial" w:hAnsi="Arial" w:cs="Arial"/>
                <w:sz w:val="20"/>
              </w:rPr>
            </w:pPr>
            <w:r w:rsidRPr="00212151">
              <w:rPr>
                <w:rFonts w:ascii="Arial" w:hAnsi="Arial" w:cs="Arial"/>
                <w:sz w:val="20"/>
              </w:rPr>
              <w:t>FY2016</w:t>
            </w:r>
          </w:p>
        </w:tc>
        <w:tc>
          <w:tcPr>
            <w:tcW w:w="1427" w:type="dxa"/>
          </w:tcPr>
          <w:p w:rsidR="00410C21" w:rsidRPr="00212151" w:rsidRDefault="00410C21" w:rsidP="00B8188D">
            <w:pPr>
              <w:spacing w:line="276" w:lineRule="auto"/>
              <w:rPr>
                <w:rFonts w:ascii="Arial" w:hAnsi="Arial" w:cs="Arial"/>
                <w:sz w:val="20"/>
              </w:rPr>
            </w:pPr>
            <w:r w:rsidRPr="00212151">
              <w:rPr>
                <w:rFonts w:ascii="Sylfaen" w:hAnsi="Sylfaen" w:cs="Arial"/>
                <w:sz w:val="20"/>
              </w:rPr>
              <w:t>¹</w:t>
            </w:r>
            <w:r w:rsidRPr="00212151">
              <w:rPr>
                <w:rFonts w:ascii="Arial" w:hAnsi="Arial" w:cs="Arial"/>
                <w:sz w:val="20"/>
              </w:rPr>
              <w:t>RMB/CCB</w:t>
            </w:r>
          </w:p>
          <w:p w:rsidR="00410C21" w:rsidRPr="00212151" w:rsidRDefault="00410C21" w:rsidP="00B8188D">
            <w:pPr>
              <w:spacing w:line="276" w:lineRule="auto"/>
              <w:rPr>
                <w:rFonts w:ascii="Arial" w:hAnsi="Arial" w:cs="Arial"/>
                <w:sz w:val="20"/>
              </w:rPr>
            </w:pPr>
            <w:r w:rsidRPr="00212151">
              <w:rPr>
                <w:rFonts w:ascii="Arial" w:hAnsi="Arial" w:cs="Arial"/>
                <w:sz w:val="20"/>
              </w:rPr>
              <w:t>Syndicated Loan</w:t>
            </w:r>
          </w:p>
        </w:tc>
        <w:tc>
          <w:tcPr>
            <w:tcW w:w="1998" w:type="dxa"/>
          </w:tcPr>
          <w:p w:rsidR="00410C21" w:rsidRPr="00212151" w:rsidRDefault="00410C21" w:rsidP="00B8188D">
            <w:pPr>
              <w:spacing w:line="276" w:lineRule="auto"/>
              <w:rPr>
                <w:rFonts w:ascii="Arial" w:hAnsi="Arial" w:cs="Arial"/>
                <w:sz w:val="20"/>
              </w:rPr>
            </w:pPr>
            <w:r w:rsidRPr="00212151">
              <w:rPr>
                <w:rFonts w:ascii="Arial" w:hAnsi="Arial" w:cs="Arial"/>
                <w:sz w:val="20"/>
              </w:rPr>
              <w:t>To apply the amounts borrowed for general corporate purposes</w:t>
            </w:r>
          </w:p>
        </w:tc>
        <w:tc>
          <w:tcPr>
            <w:tcW w:w="769" w:type="dxa"/>
          </w:tcPr>
          <w:p w:rsidR="00410C21" w:rsidRPr="00212151" w:rsidRDefault="00410C21" w:rsidP="00B8188D">
            <w:pPr>
              <w:spacing w:line="276" w:lineRule="auto"/>
              <w:rPr>
                <w:rFonts w:ascii="Arial" w:hAnsi="Arial" w:cs="Arial"/>
                <w:sz w:val="20"/>
              </w:rPr>
            </w:pPr>
            <w:r w:rsidRPr="00212151">
              <w:rPr>
                <w:rFonts w:ascii="Arial" w:hAnsi="Arial" w:cs="Arial"/>
                <w:sz w:val="20"/>
              </w:rPr>
              <w:t>3 years</w:t>
            </w:r>
          </w:p>
        </w:tc>
        <w:tc>
          <w:tcPr>
            <w:tcW w:w="1783" w:type="dxa"/>
          </w:tcPr>
          <w:p w:rsidR="00410C21" w:rsidRDefault="00410C21" w:rsidP="00B8188D">
            <w:pPr>
              <w:spacing w:line="276" w:lineRule="auto"/>
              <w:rPr>
                <w:rFonts w:ascii="Arial" w:hAnsi="Arial" w:cs="Arial"/>
                <w:color w:val="FF0000"/>
                <w:sz w:val="20"/>
              </w:rPr>
            </w:pPr>
            <w:r w:rsidRPr="00212151">
              <w:rPr>
                <w:rFonts w:ascii="Arial" w:hAnsi="Arial" w:cs="Arial"/>
                <w:color w:val="FF0000"/>
                <w:sz w:val="20"/>
              </w:rPr>
              <w:t>CCB R275m</w:t>
            </w:r>
          </w:p>
          <w:p w:rsidR="00410C21" w:rsidRPr="00212151" w:rsidRDefault="00410C21" w:rsidP="00B8188D">
            <w:pPr>
              <w:spacing w:line="276" w:lineRule="auto"/>
              <w:rPr>
                <w:rFonts w:ascii="Arial" w:hAnsi="Arial" w:cs="Arial"/>
                <w:sz w:val="20"/>
              </w:rPr>
            </w:pPr>
            <w:r w:rsidRPr="00212151">
              <w:rPr>
                <w:rFonts w:ascii="Arial" w:hAnsi="Arial" w:cs="Arial"/>
                <w:sz w:val="20"/>
              </w:rPr>
              <w:t>Other</w:t>
            </w:r>
            <w:r>
              <w:rPr>
                <w:rFonts w:ascii="Arial" w:hAnsi="Arial" w:cs="Arial"/>
                <w:sz w:val="20"/>
              </w:rPr>
              <w:t xml:space="preserve"> </w:t>
            </w:r>
            <w:r w:rsidRPr="00212151">
              <w:rPr>
                <w:rFonts w:ascii="Arial" w:hAnsi="Arial" w:cs="Arial"/>
                <w:sz w:val="20"/>
              </w:rPr>
              <w:t>R500m</w:t>
            </w:r>
          </w:p>
        </w:tc>
        <w:tc>
          <w:tcPr>
            <w:tcW w:w="2693" w:type="dxa"/>
          </w:tcPr>
          <w:p w:rsidR="00410C21" w:rsidRDefault="00410C21" w:rsidP="00B8188D">
            <w:pPr>
              <w:spacing w:line="276" w:lineRule="auto"/>
              <w:rPr>
                <w:rFonts w:ascii="Arial" w:hAnsi="Arial" w:cs="Arial"/>
                <w:sz w:val="20"/>
              </w:rPr>
            </w:pPr>
            <w:r w:rsidRPr="00212151">
              <w:rPr>
                <w:rFonts w:ascii="Arial" w:hAnsi="Arial" w:cs="Arial"/>
                <w:sz w:val="20"/>
              </w:rPr>
              <w:t>Voluntary Prepaid on</w:t>
            </w:r>
            <w:r>
              <w:rPr>
                <w:rFonts w:ascii="Arial" w:hAnsi="Arial" w:cs="Arial"/>
                <w:sz w:val="20"/>
              </w:rPr>
              <w:t xml:space="preserve">   </w:t>
            </w:r>
            <w:r w:rsidRPr="00212151">
              <w:rPr>
                <w:rFonts w:ascii="Arial" w:hAnsi="Arial" w:cs="Arial"/>
                <w:sz w:val="20"/>
              </w:rPr>
              <w:t xml:space="preserve"> 29 Sep</w:t>
            </w:r>
            <w:r>
              <w:rPr>
                <w:rFonts w:ascii="Arial" w:hAnsi="Arial" w:cs="Arial"/>
                <w:sz w:val="20"/>
              </w:rPr>
              <w:t>tember 20</w:t>
            </w:r>
            <w:r w:rsidRPr="00212151">
              <w:rPr>
                <w:rFonts w:ascii="Arial" w:hAnsi="Arial" w:cs="Arial"/>
                <w:sz w:val="20"/>
              </w:rPr>
              <w:t>17</w:t>
            </w:r>
          </w:p>
          <w:p w:rsidR="00410C21" w:rsidRDefault="00410C21" w:rsidP="00B8188D">
            <w:pPr>
              <w:spacing w:line="276" w:lineRule="auto"/>
              <w:rPr>
                <w:rFonts w:ascii="Arial" w:hAnsi="Arial" w:cs="Arial"/>
                <w:sz w:val="20"/>
              </w:rPr>
            </w:pPr>
          </w:p>
          <w:p w:rsidR="00410C21" w:rsidRPr="00212151" w:rsidRDefault="00410C21" w:rsidP="00B8188D">
            <w:pPr>
              <w:spacing w:line="276" w:lineRule="auto"/>
              <w:rPr>
                <w:rFonts w:ascii="Arial" w:hAnsi="Arial" w:cs="Arial"/>
                <w:sz w:val="20"/>
              </w:rPr>
            </w:pPr>
            <w:r>
              <w:rPr>
                <w:rFonts w:ascii="Arial" w:hAnsi="Arial" w:cs="Arial"/>
                <w:sz w:val="20"/>
              </w:rPr>
              <w:t>Amount outstanding: R0</w:t>
            </w:r>
          </w:p>
        </w:tc>
      </w:tr>
      <w:tr w:rsidR="00410C21" w:rsidRPr="00212151" w:rsidTr="00B8188D">
        <w:tc>
          <w:tcPr>
            <w:tcW w:w="1248" w:type="dxa"/>
          </w:tcPr>
          <w:p w:rsidR="00410C21" w:rsidRPr="00212151" w:rsidRDefault="00410C21" w:rsidP="00B8188D">
            <w:pPr>
              <w:spacing w:line="276" w:lineRule="auto"/>
              <w:rPr>
                <w:rFonts w:ascii="Arial" w:hAnsi="Arial" w:cs="Arial"/>
                <w:sz w:val="20"/>
              </w:rPr>
            </w:pPr>
            <w:r w:rsidRPr="00212151">
              <w:rPr>
                <w:rFonts w:ascii="Arial" w:hAnsi="Arial" w:cs="Arial"/>
                <w:sz w:val="20"/>
              </w:rPr>
              <w:lastRenderedPageBreak/>
              <w:t>FY2016</w:t>
            </w:r>
          </w:p>
        </w:tc>
        <w:tc>
          <w:tcPr>
            <w:tcW w:w="1427" w:type="dxa"/>
          </w:tcPr>
          <w:p w:rsidR="00410C21" w:rsidRPr="00212151" w:rsidRDefault="00410C21" w:rsidP="00B8188D">
            <w:pPr>
              <w:spacing w:line="276" w:lineRule="auto"/>
              <w:rPr>
                <w:rFonts w:ascii="Arial" w:hAnsi="Arial" w:cs="Arial"/>
                <w:sz w:val="20"/>
              </w:rPr>
            </w:pPr>
            <w:r w:rsidRPr="00212151">
              <w:rPr>
                <w:rFonts w:ascii="Arial" w:hAnsi="Arial" w:cs="Arial"/>
                <w:sz w:val="20"/>
              </w:rPr>
              <w:t>Absa/SBSA R2.7bn Syndicated Government Guaranteed Term Loan Facility</w:t>
            </w:r>
          </w:p>
        </w:tc>
        <w:tc>
          <w:tcPr>
            <w:tcW w:w="1998" w:type="dxa"/>
          </w:tcPr>
          <w:p w:rsidR="00410C21" w:rsidRPr="00212151" w:rsidRDefault="00410C21" w:rsidP="00B8188D">
            <w:pPr>
              <w:spacing w:line="276" w:lineRule="auto"/>
              <w:rPr>
                <w:rFonts w:ascii="Arial" w:hAnsi="Arial" w:cs="Arial"/>
                <w:sz w:val="20"/>
              </w:rPr>
            </w:pPr>
            <w:r w:rsidRPr="00212151">
              <w:rPr>
                <w:rFonts w:ascii="Arial" w:hAnsi="Arial" w:cs="Arial"/>
                <w:sz w:val="20"/>
              </w:rPr>
              <w:t>To increase the maturity profile of the Land Bank’s funding liabilities</w:t>
            </w:r>
          </w:p>
        </w:tc>
        <w:tc>
          <w:tcPr>
            <w:tcW w:w="769" w:type="dxa"/>
          </w:tcPr>
          <w:p w:rsidR="00410C21" w:rsidRPr="00212151" w:rsidRDefault="00410C21" w:rsidP="00B8188D">
            <w:pPr>
              <w:spacing w:line="276" w:lineRule="auto"/>
              <w:rPr>
                <w:rFonts w:ascii="Arial" w:hAnsi="Arial" w:cs="Arial"/>
                <w:sz w:val="20"/>
              </w:rPr>
            </w:pPr>
            <w:r w:rsidRPr="00212151">
              <w:rPr>
                <w:rFonts w:ascii="Arial" w:hAnsi="Arial" w:cs="Arial"/>
                <w:sz w:val="20"/>
              </w:rPr>
              <w:t>Facility A – 6 years</w:t>
            </w:r>
          </w:p>
          <w:p w:rsidR="00410C21" w:rsidRDefault="00410C21" w:rsidP="00B8188D">
            <w:pPr>
              <w:spacing w:line="276" w:lineRule="auto"/>
              <w:rPr>
                <w:rFonts w:ascii="Arial" w:hAnsi="Arial" w:cs="Arial"/>
                <w:sz w:val="20"/>
              </w:rPr>
            </w:pPr>
          </w:p>
          <w:p w:rsidR="00410C21" w:rsidRDefault="00410C21" w:rsidP="00B8188D">
            <w:pPr>
              <w:spacing w:line="276" w:lineRule="auto"/>
              <w:rPr>
                <w:rFonts w:ascii="Arial" w:hAnsi="Arial" w:cs="Arial"/>
                <w:sz w:val="20"/>
              </w:rPr>
            </w:pPr>
          </w:p>
          <w:p w:rsidR="00410C21" w:rsidRDefault="00410C21" w:rsidP="00B8188D">
            <w:pPr>
              <w:spacing w:line="276" w:lineRule="auto"/>
              <w:rPr>
                <w:rFonts w:ascii="Arial" w:hAnsi="Arial" w:cs="Arial"/>
                <w:sz w:val="20"/>
              </w:rPr>
            </w:pPr>
          </w:p>
          <w:p w:rsidR="00410C21" w:rsidRDefault="00410C21" w:rsidP="00B8188D">
            <w:pPr>
              <w:spacing w:line="276" w:lineRule="auto"/>
              <w:rPr>
                <w:rFonts w:ascii="Arial" w:hAnsi="Arial" w:cs="Arial"/>
                <w:sz w:val="20"/>
              </w:rPr>
            </w:pPr>
          </w:p>
          <w:p w:rsidR="00410C21" w:rsidRPr="00212151" w:rsidRDefault="00410C21" w:rsidP="00B8188D">
            <w:pPr>
              <w:spacing w:line="276" w:lineRule="auto"/>
              <w:rPr>
                <w:rFonts w:ascii="Arial" w:hAnsi="Arial" w:cs="Arial"/>
                <w:sz w:val="20"/>
              </w:rPr>
            </w:pPr>
            <w:r w:rsidRPr="00212151">
              <w:rPr>
                <w:rFonts w:ascii="Arial" w:hAnsi="Arial" w:cs="Arial"/>
                <w:sz w:val="20"/>
              </w:rPr>
              <w:t>Facility B – 7 years</w:t>
            </w:r>
          </w:p>
        </w:tc>
        <w:tc>
          <w:tcPr>
            <w:tcW w:w="1783" w:type="dxa"/>
          </w:tcPr>
          <w:p w:rsidR="00410C21" w:rsidRPr="00212151" w:rsidRDefault="00410C21" w:rsidP="00B8188D">
            <w:pPr>
              <w:spacing w:line="276" w:lineRule="auto"/>
              <w:rPr>
                <w:rFonts w:ascii="Arial" w:hAnsi="Arial" w:cs="Arial"/>
                <w:sz w:val="20"/>
              </w:rPr>
            </w:pPr>
            <w:r w:rsidRPr="00212151">
              <w:rPr>
                <w:rFonts w:ascii="Arial" w:hAnsi="Arial" w:cs="Arial"/>
                <w:sz w:val="20"/>
              </w:rPr>
              <w:t>Facility A</w:t>
            </w:r>
          </w:p>
          <w:p w:rsidR="00410C21" w:rsidRDefault="00410C21" w:rsidP="00B8188D">
            <w:pPr>
              <w:spacing w:line="276" w:lineRule="auto"/>
              <w:rPr>
                <w:rFonts w:ascii="Arial" w:hAnsi="Arial" w:cs="Arial"/>
                <w:color w:val="FF0000"/>
                <w:sz w:val="20"/>
              </w:rPr>
            </w:pPr>
            <w:r>
              <w:rPr>
                <w:rFonts w:ascii="Sylfaen" w:hAnsi="Sylfaen" w:cs="Arial"/>
                <w:color w:val="FF0000"/>
                <w:sz w:val="20"/>
              </w:rPr>
              <w:t>²</w:t>
            </w:r>
            <w:r w:rsidRPr="00212151">
              <w:rPr>
                <w:rFonts w:ascii="Arial" w:hAnsi="Arial" w:cs="Arial"/>
                <w:color w:val="FF0000"/>
                <w:sz w:val="20"/>
              </w:rPr>
              <w:t>B</w:t>
            </w:r>
            <w:r>
              <w:rPr>
                <w:rFonts w:ascii="Arial" w:hAnsi="Arial" w:cs="Arial"/>
                <w:color w:val="FF0000"/>
                <w:sz w:val="20"/>
              </w:rPr>
              <w:t>OC</w:t>
            </w:r>
            <w:r w:rsidRPr="00212151">
              <w:rPr>
                <w:rFonts w:ascii="Arial" w:hAnsi="Arial" w:cs="Arial"/>
                <w:color w:val="FF0000"/>
                <w:sz w:val="20"/>
              </w:rPr>
              <w:t xml:space="preserve"> R77m</w:t>
            </w:r>
          </w:p>
          <w:p w:rsidR="00410C21" w:rsidRDefault="00410C21" w:rsidP="00B8188D">
            <w:pPr>
              <w:spacing w:line="276" w:lineRule="auto"/>
              <w:rPr>
                <w:rFonts w:ascii="Arial" w:hAnsi="Arial" w:cs="Arial"/>
                <w:color w:val="000000" w:themeColor="text1"/>
                <w:sz w:val="20"/>
              </w:rPr>
            </w:pPr>
            <w:r w:rsidRPr="00212151">
              <w:rPr>
                <w:rFonts w:ascii="Arial" w:hAnsi="Arial" w:cs="Arial"/>
                <w:color w:val="000000" w:themeColor="text1"/>
                <w:sz w:val="20"/>
              </w:rPr>
              <w:t>Other R1</w:t>
            </w:r>
            <w:r>
              <w:rPr>
                <w:rFonts w:ascii="Arial" w:hAnsi="Arial" w:cs="Arial"/>
                <w:color w:val="000000" w:themeColor="text1"/>
                <w:sz w:val="20"/>
              </w:rPr>
              <w:t xml:space="preserve"> </w:t>
            </w:r>
            <w:r w:rsidRPr="00212151">
              <w:rPr>
                <w:rFonts w:ascii="Arial" w:hAnsi="Arial" w:cs="Arial"/>
                <w:color w:val="000000" w:themeColor="text1"/>
                <w:sz w:val="20"/>
              </w:rPr>
              <w:t>527m</w:t>
            </w:r>
          </w:p>
          <w:p w:rsidR="00410C21" w:rsidRPr="00212151" w:rsidRDefault="00410C21" w:rsidP="00B8188D">
            <w:pPr>
              <w:spacing w:line="276" w:lineRule="auto"/>
              <w:rPr>
                <w:rFonts w:ascii="Arial" w:hAnsi="Arial" w:cs="Arial"/>
                <w:color w:val="000000" w:themeColor="text1"/>
                <w:sz w:val="20"/>
              </w:rPr>
            </w:pPr>
          </w:p>
          <w:p w:rsidR="00410C21" w:rsidRDefault="00410C21" w:rsidP="00B8188D">
            <w:pPr>
              <w:spacing w:line="276" w:lineRule="auto"/>
              <w:rPr>
                <w:rFonts w:ascii="Arial" w:hAnsi="Arial" w:cs="Arial"/>
                <w:color w:val="000000" w:themeColor="text1"/>
                <w:sz w:val="20"/>
              </w:rPr>
            </w:pPr>
          </w:p>
          <w:p w:rsidR="00410C21" w:rsidRDefault="00410C21" w:rsidP="00B8188D">
            <w:pPr>
              <w:spacing w:line="276" w:lineRule="auto"/>
              <w:rPr>
                <w:rFonts w:ascii="Arial" w:hAnsi="Arial" w:cs="Arial"/>
                <w:color w:val="000000" w:themeColor="text1"/>
                <w:sz w:val="20"/>
              </w:rPr>
            </w:pPr>
          </w:p>
          <w:p w:rsidR="00410C21" w:rsidRDefault="00410C21" w:rsidP="00B8188D">
            <w:pPr>
              <w:spacing w:line="276" w:lineRule="auto"/>
              <w:rPr>
                <w:rFonts w:ascii="Arial" w:hAnsi="Arial" w:cs="Arial"/>
                <w:color w:val="000000" w:themeColor="text1"/>
                <w:sz w:val="20"/>
              </w:rPr>
            </w:pPr>
            <w:r w:rsidRPr="00212151">
              <w:rPr>
                <w:rFonts w:ascii="Arial" w:hAnsi="Arial" w:cs="Arial"/>
                <w:color w:val="000000" w:themeColor="text1"/>
                <w:sz w:val="20"/>
              </w:rPr>
              <w:t>Facility B</w:t>
            </w:r>
          </w:p>
          <w:p w:rsidR="00410C21" w:rsidRPr="00212151" w:rsidRDefault="00410C21" w:rsidP="00B8188D">
            <w:pPr>
              <w:spacing w:line="276" w:lineRule="auto"/>
              <w:rPr>
                <w:rFonts w:ascii="Arial" w:hAnsi="Arial" w:cs="Arial"/>
                <w:color w:val="FF0000"/>
                <w:sz w:val="20"/>
              </w:rPr>
            </w:pPr>
            <w:r>
              <w:rPr>
                <w:rFonts w:ascii="Arial" w:hAnsi="Arial" w:cs="Arial"/>
                <w:color w:val="FF0000"/>
                <w:sz w:val="20"/>
              </w:rPr>
              <w:t>BOC</w:t>
            </w:r>
            <w:r w:rsidRPr="00212151">
              <w:rPr>
                <w:rFonts w:ascii="Arial" w:hAnsi="Arial" w:cs="Arial"/>
                <w:color w:val="FF0000"/>
                <w:sz w:val="20"/>
              </w:rPr>
              <w:t xml:space="preserve"> R77m</w:t>
            </w:r>
          </w:p>
          <w:p w:rsidR="00410C21" w:rsidRPr="00212151" w:rsidRDefault="00410C21" w:rsidP="00B8188D">
            <w:pPr>
              <w:spacing w:line="276" w:lineRule="auto"/>
              <w:rPr>
                <w:rFonts w:ascii="Arial" w:hAnsi="Arial" w:cs="Arial"/>
                <w:color w:val="FF0000"/>
                <w:sz w:val="20"/>
              </w:rPr>
            </w:pPr>
            <w:r w:rsidRPr="00212151">
              <w:rPr>
                <w:rFonts w:ascii="Arial" w:hAnsi="Arial" w:cs="Arial"/>
                <w:sz w:val="20"/>
              </w:rPr>
              <w:t>Other R1</w:t>
            </w:r>
            <w:r>
              <w:rPr>
                <w:rFonts w:ascii="Arial" w:hAnsi="Arial" w:cs="Arial"/>
                <w:sz w:val="20"/>
              </w:rPr>
              <w:t xml:space="preserve"> </w:t>
            </w:r>
            <w:r w:rsidRPr="00212151">
              <w:rPr>
                <w:rFonts w:ascii="Arial" w:hAnsi="Arial" w:cs="Arial"/>
                <w:sz w:val="20"/>
              </w:rPr>
              <w:t>019m</w:t>
            </w:r>
            <w:r w:rsidRPr="00212151">
              <w:rPr>
                <w:rFonts w:ascii="Arial" w:hAnsi="Arial" w:cs="Arial"/>
                <w:color w:val="FF0000"/>
                <w:sz w:val="20"/>
              </w:rPr>
              <w:t xml:space="preserve"> </w:t>
            </w:r>
          </w:p>
          <w:p w:rsidR="00410C21" w:rsidRPr="00212151" w:rsidRDefault="00410C21" w:rsidP="00B8188D">
            <w:pPr>
              <w:spacing w:line="276" w:lineRule="auto"/>
              <w:rPr>
                <w:rFonts w:ascii="Arial" w:hAnsi="Arial" w:cs="Arial"/>
                <w:color w:val="FF0000"/>
                <w:sz w:val="20"/>
              </w:rPr>
            </w:pPr>
          </w:p>
        </w:tc>
        <w:tc>
          <w:tcPr>
            <w:tcW w:w="2693" w:type="dxa"/>
          </w:tcPr>
          <w:p w:rsidR="00410C21" w:rsidRPr="00212151" w:rsidRDefault="00410C21" w:rsidP="00B8188D">
            <w:pPr>
              <w:spacing w:line="276" w:lineRule="auto"/>
              <w:rPr>
                <w:rFonts w:ascii="Arial" w:hAnsi="Arial" w:cs="Arial"/>
                <w:sz w:val="20"/>
              </w:rPr>
            </w:pPr>
            <w:r w:rsidRPr="00212151">
              <w:rPr>
                <w:rFonts w:ascii="Arial" w:hAnsi="Arial" w:cs="Arial"/>
                <w:sz w:val="20"/>
              </w:rPr>
              <w:t>Facility A</w:t>
            </w:r>
            <w:r>
              <w:rPr>
                <w:rFonts w:ascii="Arial" w:hAnsi="Arial" w:cs="Arial"/>
                <w:sz w:val="20"/>
              </w:rPr>
              <w:t xml:space="preserve"> (Bullet)</w:t>
            </w:r>
          </w:p>
          <w:p w:rsidR="00410C21" w:rsidRPr="00212151" w:rsidRDefault="00410C21" w:rsidP="00B8188D">
            <w:pPr>
              <w:spacing w:line="276" w:lineRule="auto"/>
              <w:rPr>
                <w:rFonts w:ascii="Arial" w:hAnsi="Arial" w:cs="Arial"/>
                <w:color w:val="FF0000"/>
                <w:sz w:val="20"/>
              </w:rPr>
            </w:pPr>
            <w:r>
              <w:rPr>
                <w:rFonts w:ascii="Arial" w:hAnsi="Arial" w:cs="Arial"/>
                <w:color w:val="FF0000"/>
                <w:sz w:val="20"/>
              </w:rPr>
              <w:t>BOC</w:t>
            </w:r>
            <w:r w:rsidRPr="00212151">
              <w:rPr>
                <w:rFonts w:ascii="Arial" w:hAnsi="Arial" w:cs="Arial"/>
                <w:color w:val="FF0000"/>
                <w:sz w:val="20"/>
              </w:rPr>
              <w:t xml:space="preserve"> R77m</w:t>
            </w:r>
          </w:p>
          <w:p w:rsidR="00410C21" w:rsidRDefault="00410C21" w:rsidP="00B8188D">
            <w:pPr>
              <w:spacing w:line="276" w:lineRule="auto"/>
              <w:rPr>
                <w:rFonts w:ascii="Arial" w:hAnsi="Arial" w:cs="Arial"/>
                <w:color w:val="000000" w:themeColor="text1"/>
                <w:sz w:val="20"/>
              </w:rPr>
            </w:pPr>
            <w:r w:rsidRPr="00212151">
              <w:rPr>
                <w:rFonts w:ascii="Arial" w:hAnsi="Arial" w:cs="Arial"/>
                <w:color w:val="000000" w:themeColor="text1"/>
                <w:sz w:val="20"/>
              </w:rPr>
              <w:t>Other R1</w:t>
            </w:r>
            <w:r>
              <w:rPr>
                <w:rFonts w:ascii="Arial" w:hAnsi="Arial" w:cs="Arial"/>
                <w:color w:val="000000" w:themeColor="text1"/>
                <w:sz w:val="20"/>
              </w:rPr>
              <w:t xml:space="preserve"> </w:t>
            </w:r>
            <w:r w:rsidRPr="00212151">
              <w:rPr>
                <w:rFonts w:ascii="Arial" w:hAnsi="Arial" w:cs="Arial"/>
                <w:color w:val="000000" w:themeColor="text1"/>
                <w:sz w:val="20"/>
              </w:rPr>
              <w:t xml:space="preserve">003m     (R524m voluntary prepaid on 31 May </w:t>
            </w:r>
            <w:r>
              <w:rPr>
                <w:rFonts w:ascii="Arial" w:hAnsi="Arial" w:cs="Arial"/>
                <w:color w:val="000000" w:themeColor="text1"/>
                <w:sz w:val="20"/>
              </w:rPr>
              <w:t>20</w:t>
            </w:r>
            <w:r w:rsidRPr="00212151">
              <w:rPr>
                <w:rFonts w:ascii="Arial" w:hAnsi="Arial" w:cs="Arial"/>
                <w:color w:val="000000" w:themeColor="text1"/>
                <w:sz w:val="20"/>
              </w:rPr>
              <w:t>18)</w:t>
            </w:r>
          </w:p>
          <w:p w:rsidR="00410C21" w:rsidRPr="00212151" w:rsidRDefault="00410C21" w:rsidP="00B8188D">
            <w:pPr>
              <w:spacing w:line="276" w:lineRule="auto"/>
              <w:rPr>
                <w:rFonts w:ascii="Arial" w:hAnsi="Arial" w:cs="Arial"/>
                <w:color w:val="000000" w:themeColor="text1"/>
                <w:sz w:val="20"/>
              </w:rPr>
            </w:pPr>
          </w:p>
          <w:p w:rsidR="00410C21" w:rsidRPr="00212151" w:rsidRDefault="00410C21" w:rsidP="00B8188D">
            <w:pPr>
              <w:spacing w:line="276" w:lineRule="auto"/>
              <w:rPr>
                <w:rFonts w:ascii="Arial" w:hAnsi="Arial" w:cs="Arial"/>
                <w:sz w:val="20"/>
              </w:rPr>
            </w:pPr>
            <w:r w:rsidRPr="00212151">
              <w:rPr>
                <w:rFonts w:ascii="Arial" w:hAnsi="Arial" w:cs="Arial"/>
                <w:sz w:val="20"/>
              </w:rPr>
              <w:t>Facility B</w:t>
            </w:r>
            <w:r>
              <w:rPr>
                <w:rFonts w:ascii="Arial" w:hAnsi="Arial" w:cs="Arial"/>
                <w:sz w:val="20"/>
              </w:rPr>
              <w:t xml:space="preserve"> (Amortising)</w:t>
            </w:r>
          </w:p>
          <w:p w:rsidR="00410C21" w:rsidRPr="00212151" w:rsidRDefault="00410C21" w:rsidP="00B8188D">
            <w:pPr>
              <w:spacing w:line="276" w:lineRule="auto"/>
              <w:rPr>
                <w:rFonts w:ascii="Arial" w:hAnsi="Arial" w:cs="Arial"/>
                <w:color w:val="FF0000"/>
                <w:sz w:val="20"/>
              </w:rPr>
            </w:pPr>
            <w:r>
              <w:rPr>
                <w:rFonts w:ascii="Arial" w:hAnsi="Arial" w:cs="Arial"/>
                <w:color w:val="FF0000"/>
                <w:sz w:val="20"/>
              </w:rPr>
              <w:t>BOC</w:t>
            </w:r>
            <w:r w:rsidRPr="00212151">
              <w:rPr>
                <w:rFonts w:ascii="Arial" w:hAnsi="Arial" w:cs="Arial"/>
                <w:color w:val="FF0000"/>
                <w:sz w:val="20"/>
              </w:rPr>
              <w:t xml:space="preserve"> R</w:t>
            </w:r>
            <w:r>
              <w:rPr>
                <w:rFonts w:ascii="Arial" w:hAnsi="Arial" w:cs="Arial"/>
                <w:color w:val="FF0000"/>
                <w:sz w:val="20"/>
              </w:rPr>
              <w:t>65</w:t>
            </w:r>
            <w:r w:rsidRPr="00212151">
              <w:rPr>
                <w:rFonts w:ascii="Arial" w:hAnsi="Arial" w:cs="Arial"/>
                <w:color w:val="FF0000"/>
                <w:sz w:val="20"/>
              </w:rPr>
              <w:t>m</w:t>
            </w:r>
          </w:p>
          <w:p w:rsidR="00410C21" w:rsidRPr="00212151" w:rsidRDefault="00410C21" w:rsidP="00B8188D">
            <w:pPr>
              <w:spacing w:line="276" w:lineRule="auto"/>
              <w:rPr>
                <w:rFonts w:ascii="Arial" w:hAnsi="Arial" w:cs="Arial"/>
                <w:sz w:val="20"/>
              </w:rPr>
            </w:pPr>
            <w:r w:rsidRPr="00212151">
              <w:rPr>
                <w:rFonts w:ascii="Arial" w:hAnsi="Arial" w:cs="Arial"/>
                <w:sz w:val="20"/>
              </w:rPr>
              <w:t>Other R</w:t>
            </w:r>
            <w:r>
              <w:rPr>
                <w:rFonts w:ascii="Arial" w:hAnsi="Arial" w:cs="Arial"/>
                <w:sz w:val="20"/>
              </w:rPr>
              <w:t>289</w:t>
            </w:r>
            <w:r w:rsidRPr="00212151">
              <w:rPr>
                <w:rFonts w:ascii="Arial" w:hAnsi="Arial" w:cs="Arial"/>
                <w:sz w:val="20"/>
              </w:rPr>
              <w:t>m (R679m prepaid on 29 Jun</w:t>
            </w:r>
            <w:r>
              <w:rPr>
                <w:rFonts w:ascii="Arial" w:hAnsi="Arial" w:cs="Arial"/>
                <w:sz w:val="20"/>
              </w:rPr>
              <w:t>e</w:t>
            </w:r>
            <w:r w:rsidRPr="00212151">
              <w:rPr>
                <w:rFonts w:ascii="Arial" w:hAnsi="Arial" w:cs="Arial"/>
                <w:sz w:val="20"/>
              </w:rPr>
              <w:t xml:space="preserve"> </w:t>
            </w:r>
            <w:r>
              <w:rPr>
                <w:rFonts w:ascii="Arial" w:hAnsi="Arial" w:cs="Arial"/>
                <w:sz w:val="20"/>
              </w:rPr>
              <w:t>20</w:t>
            </w:r>
            <w:r w:rsidRPr="00212151">
              <w:rPr>
                <w:rFonts w:ascii="Arial" w:hAnsi="Arial" w:cs="Arial"/>
                <w:sz w:val="20"/>
              </w:rPr>
              <w:t>18)</w:t>
            </w:r>
            <w:r w:rsidRPr="00212151">
              <w:rPr>
                <w:rFonts w:ascii="Arial" w:hAnsi="Arial" w:cs="Arial"/>
                <w:color w:val="FF0000"/>
                <w:sz w:val="20"/>
              </w:rPr>
              <w:t xml:space="preserve"> </w:t>
            </w:r>
          </w:p>
        </w:tc>
      </w:tr>
      <w:tr w:rsidR="00410C21" w:rsidRPr="00212151" w:rsidTr="00B8188D">
        <w:tc>
          <w:tcPr>
            <w:tcW w:w="1248" w:type="dxa"/>
          </w:tcPr>
          <w:p w:rsidR="00410C21" w:rsidRPr="00212151" w:rsidRDefault="00410C21" w:rsidP="00B8188D">
            <w:pPr>
              <w:spacing w:line="276" w:lineRule="auto"/>
              <w:rPr>
                <w:rFonts w:ascii="Arial" w:hAnsi="Arial" w:cs="Arial"/>
                <w:sz w:val="20"/>
              </w:rPr>
            </w:pPr>
            <w:r w:rsidRPr="00212151">
              <w:rPr>
                <w:rFonts w:ascii="Arial" w:hAnsi="Arial" w:cs="Arial"/>
                <w:sz w:val="20"/>
              </w:rPr>
              <w:t>FY201</w:t>
            </w:r>
            <w:r>
              <w:rPr>
                <w:rFonts w:ascii="Arial" w:hAnsi="Arial" w:cs="Arial"/>
                <w:sz w:val="20"/>
              </w:rPr>
              <w:t>7</w:t>
            </w:r>
          </w:p>
        </w:tc>
        <w:tc>
          <w:tcPr>
            <w:tcW w:w="1427" w:type="dxa"/>
          </w:tcPr>
          <w:p w:rsidR="00410C21" w:rsidRPr="00212151" w:rsidRDefault="00410C21" w:rsidP="00B8188D">
            <w:pPr>
              <w:spacing w:line="276" w:lineRule="auto"/>
              <w:rPr>
                <w:rFonts w:ascii="Arial" w:hAnsi="Arial" w:cs="Arial"/>
                <w:sz w:val="20"/>
              </w:rPr>
            </w:pPr>
            <w:r>
              <w:rPr>
                <w:rFonts w:ascii="Arial" w:hAnsi="Arial" w:cs="Arial"/>
                <w:sz w:val="20"/>
              </w:rPr>
              <w:t>None</w:t>
            </w:r>
          </w:p>
        </w:tc>
        <w:tc>
          <w:tcPr>
            <w:tcW w:w="1998" w:type="dxa"/>
          </w:tcPr>
          <w:p w:rsidR="00410C21" w:rsidRPr="00212151" w:rsidRDefault="00410C21" w:rsidP="00B8188D">
            <w:pPr>
              <w:spacing w:line="276" w:lineRule="auto"/>
              <w:rPr>
                <w:rFonts w:ascii="Arial" w:hAnsi="Arial" w:cs="Arial"/>
                <w:sz w:val="20"/>
              </w:rPr>
            </w:pPr>
          </w:p>
        </w:tc>
        <w:tc>
          <w:tcPr>
            <w:tcW w:w="769" w:type="dxa"/>
          </w:tcPr>
          <w:p w:rsidR="00410C21" w:rsidRPr="00212151" w:rsidRDefault="00410C21" w:rsidP="00B8188D">
            <w:pPr>
              <w:spacing w:line="276" w:lineRule="auto"/>
              <w:rPr>
                <w:rFonts w:ascii="Arial" w:hAnsi="Arial" w:cs="Arial"/>
                <w:sz w:val="20"/>
              </w:rPr>
            </w:pPr>
          </w:p>
        </w:tc>
        <w:tc>
          <w:tcPr>
            <w:tcW w:w="1783" w:type="dxa"/>
          </w:tcPr>
          <w:p w:rsidR="00410C21" w:rsidRPr="00212151" w:rsidRDefault="00410C21" w:rsidP="00B8188D">
            <w:pPr>
              <w:spacing w:line="276" w:lineRule="auto"/>
              <w:rPr>
                <w:rFonts w:ascii="Arial" w:hAnsi="Arial" w:cs="Arial"/>
                <w:sz w:val="20"/>
              </w:rPr>
            </w:pPr>
          </w:p>
        </w:tc>
        <w:tc>
          <w:tcPr>
            <w:tcW w:w="2693" w:type="dxa"/>
          </w:tcPr>
          <w:p w:rsidR="00410C21" w:rsidRPr="00212151" w:rsidRDefault="00410C21" w:rsidP="00B8188D">
            <w:pPr>
              <w:spacing w:line="276" w:lineRule="auto"/>
              <w:rPr>
                <w:rFonts w:ascii="Arial" w:hAnsi="Arial" w:cs="Arial"/>
                <w:sz w:val="20"/>
              </w:rPr>
            </w:pPr>
          </w:p>
        </w:tc>
      </w:tr>
      <w:tr w:rsidR="00410C21" w:rsidRPr="00212151" w:rsidTr="00B8188D">
        <w:tc>
          <w:tcPr>
            <w:tcW w:w="1248" w:type="dxa"/>
          </w:tcPr>
          <w:p w:rsidR="00410C21" w:rsidRPr="00212151" w:rsidRDefault="00410C21" w:rsidP="00B8188D">
            <w:pPr>
              <w:spacing w:line="276" w:lineRule="auto"/>
              <w:rPr>
                <w:rFonts w:ascii="Arial" w:hAnsi="Arial" w:cs="Arial"/>
                <w:sz w:val="20"/>
              </w:rPr>
            </w:pPr>
            <w:r>
              <w:rPr>
                <w:rFonts w:ascii="Arial" w:hAnsi="Arial" w:cs="Arial"/>
                <w:sz w:val="20"/>
              </w:rPr>
              <w:t>FY2018</w:t>
            </w:r>
          </w:p>
        </w:tc>
        <w:tc>
          <w:tcPr>
            <w:tcW w:w="1427" w:type="dxa"/>
          </w:tcPr>
          <w:p w:rsidR="00410C21" w:rsidRDefault="00410C21" w:rsidP="00B8188D">
            <w:pPr>
              <w:spacing w:line="276" w:lineRule="auto"/>
              <w:rPr>
                <w:rFonts w:ascii="Arial" w:hAnsi="Arial" w:cs="Arial"/>
                <w:sz w:val="20"/>
              </w:rPr>
            </w:pPr>
            <w:r>
              <w:rPr>
                <w:rFonts w:ascii="Arial" w:hAnsi="Arial" w:cs="Arial"/>
                <w:sz w:val="20"/>
              </w:rPr>
              <w:t>None</w:t>
            </w:r>
          </w:p>
        </w:tc>
        <w:tc>
          <w:tcPr>
            <w:tcW w:w="1998" w:type="dxa"/>
          </w:tcPr>
          <w:p w:rsidR="00410C21" w:rsidRPr="00212151" w:rsidRDefault="00410C21" w:rsidP="00B8188D">
            <w:pPr>
              <w:spacing w:line="276" w:lineRule="auto"/>
              <w:rPr>
                <w:rFonts w:ascii="Arial" w:hAnsi="Arial" w:cs="Arial"/>
                <w:sz w:val="20"/>
              </w:rPr>
            </w:pPr>
          </w:p>
        </w:tc>
        <w:tc>
          <w:tcPr>
            <w:tcW w:w="769" w:type="dxa"/>
          </w:tcPr>
          <w:p w:rsidR="00410C21" w:rsidRPr="00212151" w:rsidRDefault="00410C21" w:rsidP="00B8188D">
            <w:pPr>
              <w:spacing w:line="276" w:lineRule="auto"/>
              <w:rPr>
                <w:rFonts w:ascii="Arial" w:hAnsi="Arial" w:cs="Arial"/>
                <w:sz w:val="20"/>
              </w:rPr>
            </w:pPr>
          </w:p>
        </w:tc>
        <w:tc>
          <w:tcPr>
            <w:tcW w:w="1783" w:type="dxa"/>
          </w:tcPr>
          <w:p w:rsidR="00410C21" w:rsidRPr="00212151" w:rsidRDefault="00410C21" w:rsidP="00B8188D">
            <w:pPr>
              <w:spacing w:line="276" w:lineRule="auto"/>
              <w:rPr>
                <w:rFonts w:ascii="Arial" w:hAnsi="Arial" w:cs="Arial"/>
                <w:sz w:val="20"/>
              </w:rPr>
            </w:pPr>
          </w:p>
        </w:tc>
        <w:tc>
          <w:tcPr>
            <w:tcW w:w="2693" w:type="dxa"/>
          </w:tcPr>
          <w:p w:rsidR="00410C21" w:rsidRPr="00212151" w:rsidRDefault="00410C21" w:rsidP="00B8188D">
            <w:pPr>
              <w:spacing w:line="276" w:lineRule="auto"/>
              <w:rPr>
                <w:rFonts w:ascii="Arial" w:hAnsi="Arial" w:cs="Arial"/>
                <w:sz w:val="20"/>
              </w:rPr>
            </w:pPr>
          </w:p>
        </w:tc>
      </w:tr>
      <w:tr w:rsidR="00410C21" w:rsidRPr="00212151" w:rsidTr="00B8188D">
        <w:tc>
          <w:tcPr>
            <w:tcW w:w="1248" w:type="dxa"/>
          </w:tcPr>
          <w:p w:rsidR="00410C21" w:rsidRPr="00212151" w:rsidRDefault="00410C21" w:rsidP="00B8188D">
            <w:pPr>
              <w:spacing w:line="276" w:lineRule="auto"/>
              <w:rPr>
                <w:rFonts w:ascii="Arial" w:hAnsi="Arial" w:cs="Arial"/>
                <w:sz w:val="20"/>
              </w:rPr>
            </w:pPr>
            <w:r w:rsidRPr="00212151">
              <w:rPr>
                <w:rFonts w:ascii="Arial" w:hAnsi="Arial" w:cs="Arial"/>
                <w:sz w:val="20"/>
              </w:rPr>
              <w:t>YTD</w:t>
            </w:r>
          </w:p>
        </w:tc>
        <w:tc>
          <w:tcPr>
            <w:tcW w:w="1427" w:type="dxa"/>
          </w:tcPr>
          <w:p w:rsidR="00410C21" w:rsidRPr="00212151" w:rsidRDefault="00410C21" w:rsidP="00B8188D">
            <w:pPr>
              <w:spacing w:line="276" w:lineRule="auto"/>
              <w:rPr>
                <w:rFonts w:ascii="Arial" w:hAnsi="Arial" w:cs="Arial"/>
                <w:sz w:val="20"/>
              </w:rPr>
            </w:pPr>
            <w:r>
              <w:rPr>
                <w:rFonts w:ascii="Arial" w:hAnsi="Arial" w:cs="Arial"/>
                <w:sz w:val="20"/>
              </w:rPr>
              <w:t>None</w:t>
            </w:r>
          </w:p>
        </w:tc>
        <w:tc>
          <w:tcPr>
            <w:tcW w:w="1998" w:type="dxa"/>
          </w:tcPr>
          <w:p w:rsidR="00410C21" w:rsidRPr="00212151" w:rsidRDefault="00410C21" w:rsidP="00B8188D">
            <w:pPr>
              <w:spacing w:line="276" w:lineRule="auto"/>
              <w:rPr>
                <w:rFonts w:ascii="Arial" w:hAnsi="Arial" w:cs="Arial"/>
                <w:sz w:val="20"/>
              </w:rPr>
            </w:pPr>
          </w:p>
        </w:tc>
        <w:tc>
          <w:tcPr>
            <w:tcW w:w="769" w:type="dxa"/>
          </w:tcPr>
          <w:p w:rsidR="00410C21" w:rsidRPr="00212151" w:rsidRDefault="00410C21" w:rsidP="00B8188D">
            <w:pPr>
              <w:spacing w:line="276" w:lineRule="auto"/>
              <w:rPr>
                <w:rFonts w:ascii="Arial" w:hAnsi="Arial" w:cs="Arial"/>
                <w:sz w:val="20"/>
              </w:rPr>
            </w:pPr>
          </w:p>
        </w:tc>
        <w:tc>
          <w:tcPr>
            <w:tcW w:w="1783" w:type="dxa"/>
          </w:tcPr>
          <w:p w:rsidR="00410C21" w:rsidRPr="00212151" w:rsidRDefault="00410C21" w:rsidP="00B8188D">
            <w:pPr>
              <w:spacing w:line="276" w:lineRule="auto"/>
              <w:rPr>
                <w:rFonts w:ascii="Arial" w:hAnsi="Arial" w:cs="Arial"/>
                <w:sz w:val="20"/>
              </w:rPr>
            </w:pPr>
          </w:p>
        </w:tc>
        <w:tc>
          <w:tcPr>
            <w:tcW w:w="2693" w:type="dxa"/>
          </w:tcPr>
          <w:p w:rsidR="00410C21" w:rsidRPr="00212151" w:rsidRDefault="00410C21" w:rsidP="00B8188D">
            <w:pPr>
              <w:spacing w:line="276" w:lineRule="auto"/>
              <w:rPr>
                <w:rFonts w:ascii="Arial" w:hAnsi="Arial" w:cs="Arial"/>
                <w:sz w:val="20"/>
              </w:rPr>
            </w:pPr>
          </w:p>
        </w:tc>
      </w:tr>
    </w:tbl>
    <w:p w:rsidR="00410C21" w:rsidRDefault="00410C21" w:rsidP="00410C21">
      <w:pPr>
        <w:spacing w:line="276" w:lineRule="auto"/>
        <w:rPr>
          <w:rFonts w:ascii="Arial" w:hAnsi="Arial" w:cs="Arial"/>
          <w:sz w:val="20"/>
        </w:rPr>
      </w:pPr>
      <w:r w:rsidRPr="00212151">
        <w:rPr>
          <w:rFonts w:ascii="Sylfaen" w:hAnsi="Sylfaen" w:cs="Arial"/>
          <w:sz w:val="20"/>
        </w:rPr>
        <w:t>¹</w:t>
      </w:r>
      <w:r w:rsidRPr="00212151">
        <w:rPr>
          <w:rFonts w:ascii="Arial" w:hAnsi="Arial" w:cs="Arial"/>
          <w:sz w:val="20"/>
        </w:rPr>
        <w:t>Rand Merchant Bank/China Construction Bank</w:t>
      </w:r>
      <w:r>
        <w:rPr>
          <w:rFonts w:ascii="Arial" w:hAnsi="Arial" w:cs="Arial"/>
          <w:sz w:val="20"/>
        </w:rPr>
        <w:t xml:space="preserve"> (“CCB”)</w:t>
      </w:r>
    </w:p>
    <w:p w:rsidR="00410C21" w:rsidRDefault="00410C21" w:rsidP="00410C21">
      <w:pPr>
        <w:spacing w:line="276" w:lineRule="auto"/>
        <w:rPr>
          <w:rFonts w:ascii="Arial" w:hAnsi="Arial" w:cs="Arial"/>
          <w:sz w:val="20"/>
        </w:rPr>
      </w:pPr>
      <w:r>
        <w:rPr>
          <w:rFonts w:ascii="Sylfaen" w:hAnsi="Sylfaen" w:cs="Arial"/>
          <w:sz w:val="20"/>
        </w:rPr>
        <w:t>²</w:t>
      </w:r>
      <w:r>
        <w:rPr>
          <w:rFonts w:ascii="Arial" w:hAnsi="Arial" w:cs="Arial"/>
          <w:sz w:val="20"/>
        </w:rPr>
        <w:t>Bank of China (“BOC”)</w:t>
      </w:r>
    </w:p>
    <w:p w:rsidR="00410C21" w:rsidRDefault="00410C21" w:rsidP="00410C21">
      <w:pPr>
        <w:spacing w:line="276" w:lineRule="auto"/>
        <w:rPr>
          <w:rFonts w:ascii="Arial" w:hAnsi="Arial" w:cs="Arial"/>
          <w:szCs w:val="22"/>
        </w:rPr>
      </w:pPr>
    </w:p>
    <w:p w:rsidR="00410C21" w:rsidRDefault="00410C21" w:rsidP="00410C21">
      <w:pPr>
        <w:spacing w:line="276" w:lineRule="auto"/>
        <w:jc w:val="both"/>
        <w:rPr>
          <w:rFonts w:ascii="Arial" w:hAnsi="Arial" w:cs="Arial"/>
          <w:szCs w:val="22"/>
        </w:rPr>
      </w:pPr>
      <w:r w:rsidRPr="00212151">
        <w:rPr>
          <w:rFonts w:ascii="Arial" w:hAnsi="Arial" w:cs="Arial"/>
          <w:szCs w:val="22"/>
        </w:rPr>
        <w:t xml:space="preserve">The table above shows that </w:t>
      </w:r>
      <w:r>
        <w:rPr>
          <w:rFonts w:ascii="Arial" w:hAnsi="Arial" w:cs="Arial"/>
          <w:szCs w:val="22"/>
        </w:rPr>
        <w:t>a total amount of R429m has been borrowed from Chinese entities during the past three financial years and that no borrowings have been raised during the current financial year that started on1 April 2018. As at 31 August 2018, the outstanding borrowings from entities in China amounted to R142m calculated as follows:</w:t>
      </w:r>
    </w:p>
    <w:p w:rsidR="00410C21" w:rsidRDefault="00410C21" w:rsidP="00410C21">
      <w:pPr>
        <w:spacing w:line="276" w:lineRule="auto"/>
        <w:rPr>
          <w:rFonts w:ascii="Arial" w:hAnsi="Arial" w:cs="Arial"/>
          <w:szCs w:val="22"/>
        </w:rPr>
      </w:pPr>
    </w:p>
    <w:p w:rsidR="00410C21" w:rsidRDefault="00410C21" w:rsidP="00410C21">
      <w:pPr>
        <w:spacing w:line="276" w:lineRule="auto"/>
        <w:rPr>
          <w:rFonts w:ascii="Arial" w:hAnsi="Arial" w:cs="Arial"/>
          <w:szCs w:val="22"/>
        </w:rPr>
      </w:pPr>
      <w:r>
        <w:rPr>
          <w:rFonts w:ascii="Arial" w:hAnsi="Arial" w:cs="Arial"/>
          <w:szCs w:val="22"/>
        </w:rPr>
        <w:t>Total loans received from Chinese entities:</w:t>
      </w:r>
      <w:r>
        <w:rPr>
          <w:rFonts w:ascii="Arial" w:hAnsi="Arial" w:cs="Arial"/>
          <w:szCs w:val="22"/>
        </w:rPr>
        <w:tab/>
      </w:r>
      <w:r>
        <w:rPr>
          <w:rFonts w:ascii="Arial" w:hAnsi="Arial" w:cs="Arial"/>
          <w:szCs w:val="22"/>
        </w:rPr>
        <w:tab/>
        <w:t>R429m</w:t>
      </w:r>
    </w:p>
    <w:p w:rsidR="00410C21" w:rsidRDefault="00410C21" w:rsidP="00410C21">
      <w:pPr>
        <w:spacing w:line="276" w:lineRule="auto"/>
        <w:rPr>
          <w:rFonts w:ascii="Arial" w:hAnsi="Arial" w:cs="Arial"/>
          <w:szCs w:val="22"/>
        </w:rPr>
      </w:pPr>
      <w:r>
        <w:rPr>
          <w:rFonts w:ascii="Arial" w:hAnsi="Arial" w:cs="Arial"/>
          <w:szCs w:val="22"/>
        </w:rPr>
        <w:t>Voluntary Prepayments: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(R275m)</w:t>
      </w:r>
    </w:p>
    <w:p w:rsidR="00410C21" w:rsidRDefault="00410C21" w:rsidP="00410C21">
      <w:pPr>
        <w:spacing w:line="276" w:lineRule="auto"/>
        <w:rPr>
          <w:rFonts w:ascii="Arial" w:hAnsi="Arial" w:cs="Arial"/>
          <w:szCs w:val="22"/>
        </w:rPr>
      </w:pPr>
      <w:r>
        <w:rPr>
          <w:rFonts w:ascii="Arial" w:hAnsi="Arial" w:cs="Arial"/>
          <w:szCs w:val="22"/>
        </w:rPr>
        <w:t>Instalments Paid:</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EE0FE0">
        <w:rPr>
          <w:rFonts w:ascii="Arial" w:hAnsi="Arial" w:cs="Arial"/>
          <w:szCs w:val="22"/>
          <w:u w:val="single"/>
        </w:rPr>
        <w:t>(R12m)</w:t>
      </w:r>
    </w:p>
    <w:p w:rsidR="00410C21" w:rsidRDefault="00410C21" w:rsidP="00410C21">
      <w:pPr>
        <w:spacing w:line="276" w:lineRule="auto"/>
        <w:rPr>
          <w:rFonts w:ascii="Arial" w:hAnsi="Arial" w:cs="Arial"/>
          <w:b/>
          <w:szCs w:val="22"/>
        </w:rPr>
      </w:pPr>
      <w:r>
        <w:rPr>
          <w:rFonts w:ascii="Arial" w:hAnsi="Arial" w:cs="Arial"/>
          <w:szCs w:val="22"/>
        </w:rPr>
        <w:t>Loan Amount Outstanding 31 August 2018:</w:t>
      </w:r>
      <w:r>
        <w:rPr>
          <w:rFonts w:ascii="Arial" w:hAnsi="Arial" w:cs="Arial"/>
          <w:szCs w:val="22"/>
        </w:rPr>
        <w:tab/>
      </w:r>
      <w:r>
        <w:rPr>
          <w:rFonts w:ascii="Arial" w:hAnsi="Arial" w:cs="Arial"/>
          <w:szCs w:val="22"/>
        </w:rPr>
        <w:tab/>
      </w:r>
      <w:r w:rsidRPr="00EE0FE0">
        <w:rPr>
          <w:rFonts w:ascii="Arial" w:hAnsi="Arial" w:cs="Arial"/>
          <w:b/>
          <w:szCs w:val="22"/>
        </w:rPr>
        <w:t>R142m</w:t>
      </w:r>
    </w:p>
    <w:p w:rsidR="00410C21" w:rsidRDefault="00410C21" w:rsidP="00410C21">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410C21" w:rsidRDefault="00410C21" w:rsidP="00262F05">
      <w:pPr>
        <w:tabs>
          <w:tab w:val="left" w:pos="432"/>
          <w:tab w:val="left" w:pos="864"/>
        </w:tabs>
        <w:spacing w:line="360" w:lineRule="auto"/>
        <w:ind w:left="430" w:hanging="430"/>
        <w:jc w:val="both"/>
        <w:rPr>
          <w:rFonts w:ascii="Arial" w:hAnsi="Arial" w:cs="Arial"/>
          <w:sz w:val="22"/>
          <w:szCs w:val="22"/>
        </w:rPr>
      </w:pPr>
    </w:p>
    <w:p w:rsidR="00410C21" w:rsidRPr="006A7ACC" w:rsidRDefault="006A7ACC" w:rsidP="00262F05">
      <w:pPr>
        <w:tabs>
          <w:tab w:val="left" w:pos="432"/>
          <w:tab w:val="left" w:pos="864"/>
        </w:tabs>
        <w:spacing w:line="360" w:lineRule="auto"/>
        <w:ind w:left="430" w:hanging="430"/>
        <w:jc w:val="both"/>
        <w:rPr>
          <w:rFonts w:ascii="Arial" w:hAnsi="Arial" w:cs="Arial"/>
          <w:b/>
          <w:sz w:val="22"/>
          <w:szCs w:val="22"/>
        </w:rPr>
      </w:pPr>
      <w:r w:rsidRPr="006A7ACC">
        <w:rPr>
          <w:rFonts w:ascii="Arial" w:hAnsi="Arial" w:cs="Arial"/>
          <w:b/>
          <w:sz w:val="22"/>
          <w:szCs w:val="22"/>
        </w:rPr>
        <w:t>PFA</w:t>
      </w:r>
    </w:p>
    <w:p w:rsidR="006A7ACC" w:rsidRPr="006A7ACC" w:rsidRDefault="006A7ACC" w:rsidP="006A7ACC">
      <w:pPr>
        <w:tabs>
          <w:tab w:val="left" w:pos="432"/>
          <w:tab w:val="left" w:pos="864"/>
        </w:tabs>
        <w:spacing w:line="360" w:lineRule="auto"/>
        <w:ind w:left="430" w:hanging="430"/>
        <w:jc w:val="both"/>
        <w:rPr>
          <w:rFonts w:ascii="Arial" w:hAnsi="Arial" w:cs="Arial"/>
          <w:sz w:val="22"/>
          <w:szCs w:val="22"/>
        </w:rPr>
      </w:pPr>
    </w:p>
    <w:p w:rsidR="006A7ACC" w:rsidRPr="006A7ACC" w:rsidRDefault="006A7ACC" w:rsidP="006A7ACC">
      <w:pPr>
        <w:numPr>
          <w:ilvl w:val="0"/>
          <w:numId w:val="6"/>
        </w:numPr>
        <w:tabs>
          <w:tab w:val="left" w:pos="432"/>
          <w:tab w:val="left" w:pos="864"/>
        </w:tabs>
        <w:spacing w:line="360" w:lineRule="auto"/>
        <w:jc w:val="both"/>
        <w:rPr>
          <w:rFonts w:ascii="Arial" w:hAnsi="Arial" w:cs="Arial"/>
          <w:sz w:val="22"/>
          <w:szCs w:val="22"/>
        </w:rPr>
      </w:pPr>
      <w:r w:rsidRPr="006A7ACC">
        <w:rPr>
          <w:rFonts w:ascii="Arial" w:hAnsi="Arial" w:cs="Arial"/>
          <w:sz w:val="22"/>
          <w:szCs w:val="22"/>
        </w:rPr>
        <w:t>The Office of the Pension Funds Adjudicator has not borrowed money from China in the past three financial years and since 01 April 2018.</w:t>
      </w:r>
    </w:p>
    <w:p w:rsidR="006A7ACC" w:rsidRDefault="006A7ACC" w:rsidP="006A7ACC">
      <w:pPr>
        <w:pBdr>
          <w:bottom w:val="single" w:sz="6" w:space="1" w:color="auto"/>
        </w:pBdr>
        <w:tabs>
          <w:tab w:val="left" w:pos="432"/>
          <w:tab w:val="left" w:pos="864"/>
        </w:tabs>
        <w:spacing w:line="360" w:lineRule="auto"/>
        <w:jc w:val="both"/>
        <w:rPr>
          <w:rFonts w:ascii="Arial" w:hAnsi="Arial" w:cs="Arial"/>
          <w:sz w:val="22"/>
          <w:szCs w:val="22"/>
        </w:rPr>
      </w:pPr>
    </w:p>
    <w:p w:rsidR="006A7ACC" w:rsidRDefault="006A7ACC" w:rsidP="006A7ACC">
      <w:pPr>
        <w:tabs>
          <w:tab w:val="left" w:pos="432"/>
          <w:tab w:val="left" w:pos="864"/>
        </w:tabs>
        <w:spacing w:line="360" w:lineRule="auto"/>
        <w:jc w:val="both"/>
        <w:rPr>
          <w:rFonts w:ascii="Arial" w:hAnsi="Arial" w:cs="Arial"/>
          <w:sz w:val="22"/>
          <w:szCs w:val="22"/>
        </w:rPr>
      </w:pPr>
    </w:p>
    <w:p w:rsidR="00410C21" w:rsidRPr="006A7ACC" w:rsidRDefault="006A7ACC" w:rsidP="00262F05">
      <w:pPr>
        <w:tabs>
          <w:tab w:val="left" w:pos="432"/>
          <w:tab w:val="left" w:pos="864"/>
        </w:tabs>
        <w:spacing w:line="360" w:lineRule="auto"/>
        <w:ind w:left="430" w:hanging="430"/>
        <w:jc w:val="both"/>
        <w:rPr>
          <w:rFonts w:ascii="Arial" w:hAnsi="Arial" w:cs="Arial"/>
          <w:b/>
          <w:sz w:val="22"/>
          <w:szCs w:val="22"/>
        </w:rPr>
      </w:pPr>
      <w:r w:rsidRPr="006A7ACC">
        <w:rPr>
          <w:rFonts w:ascii="Arial" w:hAnsi="Arial" w:cs="Arial"/>
          <w:b/>
          <w:sz w:val="22"/>
          <w:szCs w:val="22"/>
        </w:rPr>
        <w:t>PIC</w:t>
      </w:r>
    </w:p>
    <w:p w:rsidR="006A7ACC" w:rsidRPr="006A7ACC" w:rsidRDefault="006A7ACC" w:rsidP="006A7ACC">
      <w:pPr>
        <w:tabs>
          <w:tab w:val="left" w:pos="432"/>
          <w:tab w:val="left" w:pos="864"/>
        </w:tabs>
        <w:spacing w:line="360" w:lineRule="auto"/>
        <w:ind w:left="430" w:hanging="430"/>
        <w:jc w:val="both"/>
        <w:rPr>
          <w:rFonts w:ascii="Arial" w:hAnsi="Arial" w:cs="Arial"/>
          <w:b/>
          <w:sz w:val="22"/>
          <w:szCs w:val="22"/>
        </w:rPr>
      </w:pPr>
    </w:p>
    <w:p w:rsidR="006A7ACC" w:rsidRPr="006A7ACC" w:rsidRDefault="006A7ACC" w:rsidP="006A7ACC">
      <w:pPr>
        <w:tabs>
          <w:tab w:val="left" w:pos="432"/>
          <w:tab w:val="left" w:pos="864"/>
        </w:tabs>
        <w:spacing w:line="360" w:lineRule="auto"/>
        <w:ind w:left="430" w:hanging="430"/>
        <w:jc w:val="both"/>
        <w:rPr>
          <w:rFonts w:ascii="Arial" w:hAnsi="Arial" w:cs="Arial"/>
          <w:sz w:val="22"/>
          <w:szCs w:val="22"/>
        </w:rPr>
      </w:pPr>
      <w:r w:rsidRPr="006A7ACC">
        <w:rPr>
          <w:rFonts w:ascii="Arial" w:hAnsi="Arial" w:cs="Arial"/>
          <w:sz w:val="22"/>
          <w:szCs w:val="22"/>
        </w:rPr>
        <w:t>The Public Investment Corporation (PIC) has never borrowed any money from any entity in China.</w:t>
      </w:r>
    </w:p>
    <w:p w:rsidR="006A7ACC" w:rsidRDefault="006A7ACC" w:rsidP="006A7ACC">
      <w:pPr>
        <w:pBdr>
          <w:bottom w:val="single" w:sz="6" w:space="1" w:color="auto"/>
        </w:pBdr>
        <w:tabs>
          <w:tab w:val="left" w:pos="432"/>
          <w:tab w:val="left" w:pos="864"/>
        </w:tabs>
        <w:spacing w:line="360" w:lineRule="auto"/>
        <w:jc w:val="both"/>
        <w:rPr>
          <w:rFonts w:ascii="Arial" w:hAnsi="Arial" w:cs="Arial"/>
          <w:sz w:val="22"/>
          <w:szCs w:val="22"/>
        </w:rPr>
      </w:pPr>
    </w:p>
    <w:p w:rsidR="006A7ACC" w:rsidRPr="006A7ACC" w:rsidRDefault="006A7ACC" w:rsidP="006A7ACC">
      <w:pPr>
        <w:tabs>
          <w:tab w:val="left" w:pos="432"/>
          <w:tab w:val="left" w:pos="864"/>
        </w:tabs>
        <w:spacing w:line="360" w:lineRule="auto"/>
        <w:jc w:val="both"/>
        <w:rPr>
          <w:rFonts w:ascii="Arial" w:hAnsi="Arial" w:cs="Arial"/>
          <w:sz w:val="22"/>
          <w:szCs w:val="22"/>
        </w:rPr>
      </w:pPr>
    </w:p>
    <w:p w:rsidR="00700F42" w:rsidRDefault="00700F42" w:rsidP="006A7ACC">
      <w:pPr>
        <w:tabs>
          <w:tab w:val="left" w:pos="432"/>
          <w:tab w:val="left" w:pos="864"/>
        </w:tabs>
        <w:spacing w:line="360" w:lineRule="auto"/>
        <w:ind w:left="430" w:hanging="430"/>
        <w:jc w:val="both"/>
        <w:rPr>
          <w:rFonts w:ascii="Arial" w:hAnsi="Arial" w:cs="Arial"/>
          <w:b/>
          <w:sz w:val="22"/>
          <w:szCs w:val="22"/>
        </w:rPr>
      </w:pPr>
    </w:p>
    <w:p w:rsidR="006A7ACC" w:rsidRPr="006A7ACC" w:rsidRDefault="006A7ACC" w:rsidP="006A7ACC">
      <w:pPr>
        <w:tabs>
          <w:tab w:val="left" w:pos="432"/>
          <w:tab w:val="left" w:pos="864"/>
        </w:tabs>
        <w:spacing w:line="360" w:lineRule="auto"/>
        <w:ind w:left="430" w:hanging="430"/>
        <w:jc w:val="both"/>
        <w:rPr>
          <w:rFonts w:ascii="Arial" w:hAnsi="Arial" w:cs="Arial"/>
          <w:b/>
          <w:sz w:val="22"/>
          <w:szCs w:val="22"/>
        </w:rPr>
      </w:pPr>
      <w:r w:rsidRPr="006A7ACC">
        <w:rPr>
          <w:rFonts w:ascii="Arial" w:hAnsi="Arial" w:cs="Arial"/>
          <w:b/>
          <w:sz w:val="22"/>
          <w:szCs w:val="22"/>
        </w:rPr>
        <w:lastRenderedPageBreak/>
        <w:t>SARS</w:t>
      </w:r>
    </w:p>
    <w:p w:rsidR="006A7ACC" w:rsidRDefault="006A7ACC" w:rsidP="006A7ACC">
      <w:pPr>
        <w:tabs>
          <w:tab w:val="left" w:pos="432"/>
          <w:tab w:val="left" w:pos="864"/>
        </w:tabs>
        <w:spacing w:line="360" w:lineRule="auto"/>
        <w:ind w:left="430" w:hanging="430"/>
        <w:jc w:val="both"/>
        <w:rPr>
          <w:rFonts w:ascii="Arial" w:hAnsi="Arial" w:cs="Arial"/>
          <w:sz w:val="22"/>
          <w:szCs w:val="22"/>
        </w:rPr>
      </w:pPr>
    </w:p>
    <w:p w:rsidR="006A7ACC" w:rsidRPr="006A7ACC" w:rsidRDefault="006A7ACC" w:rsidP="006A7ACC">
      <w:pPr>
        <w:tabs>
          <w:tab w:val="left" w:pos="432"/>
          <w:tab w:val="left" w:pos="864"/>
        </w:tabs>
        <w:spacing w:line="360" w:lineRule="auto"/>
        <w:ind w:left="430" w:hanging="430"/>
        <w:jc w:val="both"/>
        <w:rPr>
          <w:rFonts w:ascii="Arial" w:hAnsi="Arial" w:cs="Arial"/>
          <w:sz w:val="22"/>
          <w:szCs w:val="22"/>
          <w:lang w:val="en-ZA"/>
        </w:rPr>
      </w:pPr>
      <w:r w:rsidRPr="006A7ACC">
        <w:rPr>
          <w:rFonts w:ascii="Arial" w:hAnsi="Arial" w:cs="Arial"/>
          <w:sz w:val="22"/>
          <w:szCs w:val="22"/>
        </w:rPr>
        <w:t xml:space="preserve">SARS has not borrowed any amount from any entity in China in the past 3 years or since April 2018 and therefore section b, c and d of the question is not applicable. </w:t>
      </w:r>
    </w:p>
    <w:p w:rsidR="006A7ACC" w:rsidRDefault="006A7ACC" w:rsidP="006A7ACC">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6A7ACC" w:rsidRDefault="006A7ACC" w:rsidP="006A7ACC">
      <w:pPr>
        <w:tabs>
          <w:tab w:val="left" w:pos="432"/>
          <w:tab w:val="left" w:pos="864"/>
        </w:tabs>
        <w:spacing w:line="360" w:lineRule="auto"/>
        <w:ind w:left="430" w:hanging="430"/>
        <w:jc w:val="both"/>
        <w:rPr>
          <w:rFonts w:ascii="Arial" w:hAnsi="Arial" w:cs="Arial"/>
          <w:sz w:val="22"/>
          <w:szCs w:val="22"/>
        </w:rPr>
      </w:pPr>
    </w:p>
    <w:p w:rsidR="006A7ACC" w:rsidRPr="006A7ACC" w:rsidRDefault="006A7ACC" w:rsidP="006A7ACC">
      <w:pPr>
        <w:tabs>
          <w:tab w:val="left" w:pos="432"/>
          <w:tab w:val="left" w:pos="864"/>
        </w:tabs>
        <w:spacing w:line="360" w:lineRule="auto"/>
        <w:ind w:left="430" w:hanging="430"/>
        <w:jc w:val="both"/>
        <w:rPr>
          <w:rFonts w:ascii="Arial" w:hAnsi="Arial" w:cs="Arial"/>
          <w:b/>
          <w:sz w:val="22"/>
          <w:szCs w:val="22"/>
        </w:rPr>
      </w:pPr>
      <w:r w:rsidRPr="006A7ACC">
        <w:rPr>
          <w:rFonts w:ascii="Arial" w:hAnsi="Arial" w:cs="Arial"/>
          <w:b/>
          <w:sz w:val="22"/>
          <w:szCs w:val="22"/>
        </w:rPr>
        <w:t>SASRIA</w:t>
      </w:r>
    </w:p>
    <w:p w:rsidR="006A7ACC" w:rsidRDefault="006A7ACC" w:rsidP="006A7ACC">
      <w:pPr>
        <w:tabs>
          <w:tab w:val="left" w:pos="432"/>
          <w:tab w:val="left" w:pos="864"/>
        </w:tabs>
        <w:spacing w:line="360" w:lineRule="auto"/>
        <w:ind w:left="430" w:hanging="430"/>
        <w:jc w:val="both"/>
        <w:rPr>
          <w:rFonts w:ascii="Arial" w:hAnsi="Arial" w:cs="Arial"/>
          <w:sz w:val="22"/>
          <w:szCs w:val="22"/>
        </w:rPr>
      </w:pPr>
    </w:p>
    <w:p w:rsidR="006A7ACC" w:rsidRPr="006A7ACC" w:rsidRDefault="006A7ACC" w:rsidP="006A7ACC">
      <w:pPr>
        <w:tabs>
          <w:tab w:val="left" w:pos="432"/>
          <w:tab w:val="left" w:pos="864"/>
        </w:tabs>
        <w:spacing w:line="360" w:lineRule="auto"/>
        <w:ind w:left="430" w:hanging="430"/>
        <w:jc w:val="both"/>
        <w:rPr>
          <w:rFonts w:ascii="Arial" w:hAnsi="Arial" w:cs="Arial"/>
          <w:sz w:val="22"/>
          <w:szCs w:val="22"/>
        </w:rPr>
      </w:pPr>
      <w:r w:rsidRPr="006A7ACC">
        <w:rPr>
          <w:rFonts w:ascii="Arial" w:hAnsi="Arial" w:cs="Arial"/>
          <w:sz w:val="22"/>
          <w:szCs w:val="22"/>
        </w:rPr>
        <w:t>Sasria SOC Ltd is self-funded, with no loan facilities and has not held any loan facility in the past three financial years. Therefore, there has not been any borrowings from any entity in China.</w:t>
      </w:r>
    </w:p>
    <w:p w:rsidR="006A7ACC" w:rsidRDefault="006A7ACC" w:rsidP="006A7ACC">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6A7ACC" w:rsidRDefault="006A7ACC" w:rsidP="006A7ACC">
      <w:pPr>
        <w:tabs>
          <w:tab w:val="left" w:pos="432"/>
          <w:tab w:val="left" w:pos="864"/>
        </w:tabs>
        <w:spacing w:line="360" w:lineRule="auto"/>
        <w:ind w:left="430" w:hanging="430"/>
        <w:jc w:val="both"/>
        <w:rPr>
          <w:rFonts w:ascii="Arial" w:hAnsi="Arial" w:cs="Arial"/>
          <w:sz w:val="22"/>
          <w:szCs w:val="22"/>
        </w:rPr>
      </w:pPr>
    </w:p>
    <w:p w:rsidR="006A7ACC" w:rsidRPr="006A7ACC" w:rsidRDefault="006A7ACC" w:rsidP="006A7ACC">
      <w:pPr>
        <w:tabs>
          <w:tab w:val="left" w:pos="432"/>
          <w:tab w:val="left" w:pos="864"/>
        </w:tabs>
        <w:spacing w:line="360" w:lineRule="auto"/>
        <w:ind w:left="430" w:hanging="430"/>
        <w:jc w:val="both"/>
        <w:rPr>
          <w:rFonts w:ascii="Arial" w:hAnsi="Arial" w:cs="Arial"/>
          <w:b/>
          <w:sz w:val="22"/>
          <w:szCs w:val="22"/>
        </w:rPr>
      </w:pPr>
      <w:r w:rsidRPr="006A7ACC">
        <w:rPr>
          <w:rFonts w:ascii="Arial" w:hAnsi="Arial" w:cs="Arial"/>
          <w:b/>
          <w:sz w:val="22"/>
          <w:szCs w:val="22"/>
        </w:rPr>
        <w:t>TAX OMBUD</w:t>
      </w:r>
    </w:p>
    <w:p w:rsidR="006A7ACC" w:rsidRDefault="006A7ACC" w:rsidP="006A7ACC">
      <w:pPr>
        <w:tabs>
          <w:tab w:val="left" w:pos="432"/>
          <w:tab w:val="left" w:pos="864"/>
        </w:tabs>
        <w:spacing w:line="360" w:lineRule="auto"/>
        <w:ind w:left="430" w:hanging="430"/>
        <w:jc w:val="both"/>
        <w:rPr>
          <w:rFonts w:ascii="Arial" w:hAnsi="Arial" w:cs="Arial"/>
          <w:sz w:val="22"/>
          <w:szCs w:val="22"/>
        </w:rPr>
      </w:pPr>
    </w:p>
    <w:p w:rsidR="006A7ACC" w:rsidRPr="006A7ACC" w:rsidRDefault="006A7ACC" w:rsidP="006A7ACC">
      <w:pPr>
        <w:tabs>
          <w:tab w:val="left" w:pos="432"/>
          <w:tab w:val="left" w:pos="864"/>
        </w:tabs>
        <w:spacing w:line="360" w:lineRule="auto"/>
        <w:ind w:left="430" w:hanging="430"/>
        <w:jc w:val="both"/>
        <w:rPr>
          <w:rFonts w:ascii="Arial" w:hAnsi="Arial" w:cs="Arial"/>
          <w:sz w:val="22"/>
          <w:szCs w:val="22"/>
        </w:rPr>
      </w:pPr>
      <w:r>
        <w:rPr>
          <w:rFonts w:ascii="Arial" w:hAnsi="Arial" w:cs="Arial"/>
          <w:sz w:val="22"/>
          <w:szCs w:val="22"/>
        </w:rPr>
        <w:t xml:space="preserve">The Office of the Tax Ombud has not borrowed money from any entity from China. </w:t>
      </w:r>
    </w:p>
    <w:p w:rsidR="006A7ACC" w:rsidRDefault="006A7ACC" w:rsidP="00262F05">
      <w:pPr>
        <w:pBdr>
          <w:bottom w:val="single" w:sz="6" w:space="1" w:color="auto"/>
        </w:pBdr>
        <w:tabs>
          <w:tab w:val="left" w:pos="432"/>
          <w:tab w:val="left" w:pos="864"/>
        </w:tabs>
        <w:spacing w:line="360" w:lineRule="auto"/>
        <w:ind w:left="430" w:hanging="430"/>
        <w:jc w:val="both"/>
        <w:rPr>
          <w:rFonts w:ascii="Arial" w:hAnsi="Arial" w:cs="Arial"/>
          <w:sz w:val="22"/>
          <w:szCs w:val="22"/>
        </w:rPr>
      </w:pPr>
    </w:p>
    <w:p w:rsidR="006A7ACC" w:rsidRDefault="006A7ACC" w:rsidP="00262F05">
      <w:pPr>
        <w:tabs>
          <w:tab w:val="left" w:pos="432"/>
          <w:tab w:val="left" w:pos="864"/>
        </w:tabs>
        <w:spacing w:line="360" w:lineRule="auto"/>
        <w:ind w:left="430" w:hanging="430"/>
        <w:jc w:val="both"/>
        <w:rPr>
          <w:rFonts w:ascii="Arial" w:hAnsi="Arial" w:cs="Arial"/>
          <w:sz w:val="22"/>
          <w:szCs w:val="22"/>
        </w:rPr>
      </w:pPr>
    </w:p>
    <w:p w:rsidR="00410C21" w:rsidRDefault="00410C21" w:rsidP="00262F05">
      <w:pPr>
        <w:tabs>
          <w:tab w:val="left" w:pos="432"/>
          <w:tab w:val="left" w:pos="864"/>
        </w:tabs>
        <w:spacing w:line="360" w:lineRule="auto"/>
        <w:ind w:left="430" w:hanging="430"/>
        <w:jc w:val="both"/>
        <w:rPr>
          <w:rFonts w:ascii="Arial" w:hAnsi="Arial" w:cs="Arial"/>
          <w:sz w:val="22"/>
          <w:szCs w:val="22"/>
        </w:rPr>
      </w:pPr>
    </w:p>
    <w:p w:rsidR="00410C21" w:rsidRDefault="00410C21"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751942" w:rsidRPr="00063E28" w:rsidRDefault="00751942" w:rsidP="00751942">
      <w:pPr>
        <w:tabs>
          <w:tab w:val="left" w:pos="432"/>
          <w:tab w:val="left" w:pos="864"/>
        </w:tabs>
        <w:spacing w:line="276" w:lineRule="auto"/>
        <w:jc w:val="both"/>
        <w:rPr>
          <w:rFonts w:ascii="Arial" w:hAnsi="Arial" w:cs="Arial"/>
          <w:b/>
          <w:sz w:val="22"/>
          <w:szCs w:val="22"/>
        </w:rPr>
      </w:pPr>
    </w:p>
    <w:sectPr w:rsidR="00751942" w:rsidRPr="00063E28" w:rsidSect="004F43FB">
      <w:footerReference w:type="default" r:id="rId8"/>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1C" w:rsidRDefault="00AC5F1C" w:rsidP="00AC5F1C">
      <w:r>
        <w:separator/>
      </w:r>
    </w:p>
  </w:endnote>
  <w:endnote w:type="continuationSeparator" w:id="0">
    <w:p w:rsidR="00AC5F1C" w:rsidRDefault="00AC5F1C" w:rsidP="00AC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854801"/>
      <w:docPartObj>
        <w:docPartGallery w:val="Page Numbers (Bottom of Page)"/>
        <w:docPartUnique/>
      </w:docPartObj>
    </w:sdtPr>
    <w:sdtEndPr>
      <w:rPr>
        <w:noProof/>
      </w:rPr>
    </w:sdtEndPr>
    <w:sdtContent>
      <w:p w:rsidR="00AC5F1C" w:rsidRDefault="00AC5F1C">
        <w:pPr>
          <w:pStyle w:val="Footer"/>
          <w:jc w:val="center"/>
        </w:pPr>
        <w:r>
          <w:fldChar w:fldCharType="begin"/>
        </w:r>
        <w:r>
          <w:instrText xml:space="preserve"> PAGE   \* MERGEFORMAT </w:instrText>
        </w:r>
        <w:r>
          <w:fldChar w:fldCharType="separate"/>
        </w:r>
        <w:r w:rsidR="00447A41">
          <w:rPr>
            <w:noProof/>
          </w:rPr>
          <w:t>1</w:t>
        </w:r>
        <w:r>
          <w:rPr>
            <w:noProof/>
          </w:rPr>
          <w:fldChar w:fldCharType="end"/>
        </w:r>
      </w:p>
    </w:sdtContent>
  </w:sdt>
  <w:p w:rsidR="00AC5F1C" w:rsidRDefault="00AC5F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1C" w:rsidRDefault="00AC5F1C" w:rsidP="00AC5F1C">
      <w:r>
        <w:separator/>
      </w:r>
    </w:p>
  </w:footnote>
  <w:footnote w:type="continuationSeparator" w:id="0">
    <w:p w:rsidR="00AC5F1C" w:rsidRDefault="00AC5F1C" w:rsidP="00AC5F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F13DB"/>
    <w:multiLevelType w:val="hybridMultilevel"/>
    <w:tmpl w:val="5F26CD58"/>
    <w:lvl w:ilvl="0" w:tplc="5DBAF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74AB9"/>
    <w:multiLevelType w:val="hybridMultilevel"/>
    <w:tmpl w:val="DB68A60A"/>
    <w:lvl w:ilvl="0" w:tplc="ED8A6AD4">
      <w:start w:val="2"/>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F62C15"/>
    <w:multiLevelType w:val="hybridMultilevel"/>
    <w:tmpl w:val="E6481BE6"/>
    <w:lvl w:ilvl="0" w:tplc="4F5E6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B16E9"/>
    <w:rsid w:val="000C2BEF"/>
    <w:rsid w:val="000C48D8"/>
    <w:rsid w:val="000E1B36"/>
    <w:rsid w:val="000F3B14"/>
    <w:rsid w:val="000F5178"/>
    <w:rsid w:val="00110946"/>
    <w:rsid w:val="001433AE"/>
    <w:rsid w:val="0014441E"/>
    <w:rsid w:val="0015727B"/>
    <w:rsid w:val="00197576"/>
    <w:rsid w:val="001B0917"/>
    <w:rsid w:val="001B545F"/>
    <w:rsid w:val="001D4937"/>
    <w:rsid w:val="001E3FB5"/>
    <w:rsid w:val="001E6902"/>
    <w:rsid w:val="001F4B50"/>
    <w:rsid w:val="002065BA"/>
    <w:rsid w:val="00207912"/>
    <w:rsid w:val="0022502D"/>
    <w:rsid w:val="00262F05"/>
    <w:rsid w:val="002855CE"/>
    <w:rsid w:val="002867DD"/>
    <w:rsid w:val="002A4157"/>
    <w:rsid w:val="002F6E86"/>
    <w:rsid w:val="00326CF2"/>
    <w:rsid w:val="003421BD"/>
    <w:rsid w:val="00344553"/>
    <w:rsid w:val="00351BF5"/>
    <w:rsid w:val="00410C21"/>
    <w:rsid w:val="00413ABE"/>
    <w:rsid w:val="00413C95"/>
    <w:rsid w:val="0043065E"/>
    <w:rsid w:val="00447A41"/>
    <w:rsid w:val="004709BD"/>
    <w:rsid w:val="00472D86"/>
    <w:rsid w:val="00485B2E"/>
    <w:rsid w:val="004A078E"/>
    <w:rsid w:val="004B1526"/>
    <w:rsid w:val="004F43FB"/>
    <w:rsid w:val="005141B3"/>
    <w:rsid w:val="00532BB4"/>
    <w:rsid w:val="00533C35"/>
    <w:rsid w:val="0055290F"/>
    <w:rsid w:val="005706F1"/>
    <w:rsid w:val="00574E19"/>
    <w:rsid w:val="00613FC6"/>
    <w:rsid w:val="006239F1"/>
    <w:rsid w:val="00624D20"/>
    <w:rsid w:val="0062770E"/>
    <w:rsid w:val="0064275F"/>
    <w:rsid w:val="00646E7C"/>
    <w:rsid w:val="00647EF2"/>
    <w:rsid w:val="00653A85"/>
    <w:rsid w:val="00675635"/>
    <w:rsid w:val="00685058"/>
    <w:rsid w:val="00693A64"/>
    <w:rsid w:val="006A7ACC"/>
    <w:rsid w:val="006D1766"/>
    <w:rsid w:val="006D2C61"/>
    <w:rsid w:val="00700F42"/>
    <w:rsid w:val="007118EA"/>
    <w:rsid w:val="00726A9C"/>
    <w:rsid w:val="007359BF"/>
    <w:rsid w:val="00743F26"/>
    <w:rsid w:val="00751942"/>
    <w:rsid w:val="007540E0"/>
    <w:rsid w:val="0076668B"/>
    <w:rsid w:val="007749D9"/>
    <w:rsid w:val="00780F57"/>
    <w:rsid w:val="007914E0"/>
    <w:rsid w:val="007A32AF"/>
    <w:rsid w:val="007B1BA1"/>
    <w:rsid w:val="007D4060"/>
    <w:rsid w:val="007E56A2"/>
    <w:rsid w:val="00803AC4"/>
    <w:rsid w:val="00813FF0"/>
    <w:rsid w:val="008270A1"/>
    <w:rsid w:val="008321A4"/>
    <w:rsid w:val="00852DC3"/>
    <w:rsid w:val="00876CBB"/>
    <w:rsid w:val="00891265"/>
    <w:rsid w:val="00897498"/>
    <w:rsid w:val="008C2559"/>
    <w:rsid w:val="008E01C3"/>
    <w:rsid w:val="008E4142"/>
    <w:rsid w:val="008F6C28"/>
    <w:rsid w:val="00911717"/>
    <w:rsid w:val="009163A5"/>
    <w:rsid w:val="0093392A"/>
    <w:rsid w:val="00953363"/>
    <w:rsid w:val="0096007E"/>
    <w:rsid w:val="00972601"/>
    <w:rsid w:val="009A18A7"/>
    <w:rsid w:val="009E1AB2"/>
    <w:rsid w:val="00A02200"/>
    <w:rsid w:val="00A45FE5"/>
    <w:rsid w:val="00A525F0"/>
    <w:rsid w:val="00A566A2"/>
    <w:rsid w:val="00A5731A"/>
    <w:rsid w:val="00A677C3"/>
    <w:rsid w:val="00A72B9B"/>
    <w:rsid w:val="00AA4ED9"/>
    <w:rsid w:val="00AC5F1C"/>
    <w:rsid w:val="00AD00CE"/>
    <w:rsid w:val="00AD5C9B"/>
    <w:rsid w:val="00AD7195"/>
    <w:rsid w:val="00AE07DE"/>
    <w:rsid w:val="00B03AF4"/>
    <w:rsid w:val="00B03DD6"/>
    <w:rsid w:val="00B20E37"/>
    <w:rsid w:val="00B35E0C"/>
    <w:rsid w:val="00B447E6"/>
    <w:rsid w:val="00B77F67"/>
    <w:rsid w:val="00B913C7"/>
    <w:rsid w:val="00B95452"/>
    <w:rsid w:val="00BC3150"/>
    <w:rsid w:val="00BD31C6"/>
    <w:rsid w:val="00C25C7E"/>
    <w:rsid w:val="00C312EA"/>
    <w:rsid w:val="00C44C35"/>
    <w:rsid w:val="00C472D6"/>
    <w:rsid w:val="00C60822"/>
    <w:rsid w:val="00CB4FDB"/>
    <w:rsid w:val="00CB51AD"/>
    <w:rsid w:val="00CC2F3E"/>
    <w:rsid w:val="00D01E04"/>
    <w:rsid w:val="00D363B6"/>
    <w:rsid w:val="00D37A79"/>
    <w:rsid w:val="00DB2463"/>
    <w:rsid w:val="00DC769E"/>
    <w:rsid w:val="00DD2A0D"/>
    <w:rsid w:val="00DD5296"/>
    <w:rsid w:val="00DE122E"/>
    <w:rsid w:val="00DE76CB"/>
    <w:rsid w:val="00DF0D26"/>
    <w:rsid w:val="00E42AEE"/>
    <w:rsid w:val="00E55071"/>
    <w:rsid w:val="00E60EE1"/>
    <w:rsid w:val="00E77DF6"/>
    <w:rsid w:val="00E8352B"/>
    <w:rsid w:val="00EA468F"/>
    <w:rsid w:val="00EA6A49"/>
    <w:rsid w:val="00EC4BF6"/>
    <w:rsid w:val="00F03C60"/>
    <w:rsid w:val="00F51C17"/>
    <w:rsid w:val="00F5571A"/>
    <w:rsid w:val="00F65949"/>
    <w:rsid w:val="00F754AB"/>
    <w:rsid w:val="00F87EA6"/>
    <w:rsid w:val="00FB0ABC"/>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ABEBA"/>
  <w15:docId w15:val="{78AC97C2-6DA1-4785-87BC-58DC7D97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79"/>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styleId="Header">
    <w:name w:val="header"/>
    <w:basedOn w:val="Normal"/>
    <w:link w:val="HeaderChar"/>
    <w:unhideWhenUsed/>
    <w:rsid w:val="00AC5F1C"/>
    <w:pPr>
      <w:tabs>
        <w:tab w:val="center" w:pos="4513"/>
        <w:tab w:val="right" w:pos="9026"/>
      </w:tabs>
    </w:pPr>
  </w:style>
  <w:style w:type="character" w:customStyle="1" w:styleId="HeaderChar">
    <w:name w:val="Header Char"/>
    <w:basedOn w:val="DefaultParagraphFont"/>
    <w:link w:val="Header"/>
    <w:rsid w:val="00AC5F1C"/>
    <w:rPr>
      <w:sz w:val="24"/>
      <w:szCs w:val="24"/>
      <w:lang w:val="en-US" w:eastAsia="en-US"/>
    </w:rPr>
  </w:style>
  <w:style w:type="paragraph" w:styleId="Footer">
    <w:name w:val="footer"/>
    <w:basedOn w:val="Normal"/>
    <w:link w:val="FooterChar"/>
    <w:uiPriority w:val="99"/>
    <w:unhideWhenUsed/>
    <w:rsid w:val="00AC5F1C"/>
    <w:pPr>
      <w:tabs>
        <w:tab w:val="center" w:pos="4513"/>
        <w:tab w:val="right" w:pos="9026"/>
      </w:tabs>
    </w:pPr>
  </w:style>
  <w:style w:type="character" w:customStyle="1" w:styleId="FooterChar">
    <w:name w:val="Footer Char"/>
    <w:basedOn w:val="DefaultParagraphFont"/>
    <w:link w:val="Footer"/>
    <w:uiPriority w:val="99"/>
    <w:rsid w:val="00AC5F1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127E-D549-40FC-A029-35B21800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2014-06-25T12:20:00Z</cp:lastPrinted>
  <dcterms:created xsi:type="dcterms:W3CDTF">2018-10-09T07:46:00Z</dcterms:created>
  <dcterms:modified xsi:type="dcterms:W3CDTF">2018-10-09T07:46:00Z</dcterms:modified>
</cp:coreProperties>
</file>