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030" w:rsidRPr="00701C41" w:rsidRDefault="00394496" w:rsidP="00701C41">
      <w:pPr>
        <w:pStyle w:val="Heading1"/>
        <w:ind w:right="6903"/>
        <w:rPr>
          <w:sz w:val="20"/>
          <w:szCs w:val="20"/>
        </w:rPr>
      </w:pPr>
      <w:r w:rsidRPr="00701C41">
        <w:rPr>
          <w:sz w:val="20"/>
          <w:szCs w:val="20"/>
        </w:rPr>
        <w:t>National Assembly Question No: 2500</w:t>
      </w:r>
    </w:p>
    <w:p w:rsidR="00701C41" w:rsidRDefault="00701C41" w:rsidP="00701C41">
      <w:pPr>
        <w:rPr>
          <w:b/>
          <w:sz w:val="20"/>
          <w:szCs w:val="20"/>
        </w:rPr>
      </w:pPr>
    </w:p>
    <w:p w:rsidR="00462030" w:rsidRPr="00701C41" w:rsidRDefault="00394496" w:rsidP="00701C41">
      <w:pPr>
        <w:rPr>
          <w:b/>
          <w:sz w:val="20"/>
          <w:szCs w:val="20"/>
        </w:rPr>
      </w:pPr>
      <w:r w:rsidRPr="00701C41">
        <w:rPr>
          <w:b/>
          <w:sz w:val="20"/>
          <w:szCs w:val="20"/>
        </w:rPr>
        <w:t>Mr C H H Hunsinger (DA) to ask the Minister of Transport:</w:t>
      </w:r>
    </w:p>
    <w:p w:rsidR="00462030" w:rsidRPr="00701C41" w:rsidRDefault="00462030" w:rsidP="00701C41">
      <w:pPr>
        <w:pStyle w:val="BodyText"/>
        <w:rPr>
          <w:b/>
          <w:sz w:val="20"/>
          <w:szCs w:val="20"/>
        </w:rPr>
      </w:pPr>
    </w:p>
    <w:p w:rsidR="00462030" w:rsidRPr="00701C41" w:rsidRDefault="00394496" w:rsidP="00701C41">
      <w:pPr>
        <w:pStyle w:val="BodyText"/>
        <w:ind w:left="838" w:right="219"/>
        <w:rPr>
          <w:sz w:val="20"/>
          <w:szCs w:val="20"/>
        </w:rPr>
      </w:pPr>
      <w:r w:rsidRPr="00701C41">
        <w:rPr>
          <w:sz w:val="20"/>
          <w:szCs w:val="20"/>
        </w:rPr>
        <w:t>What (a) is the basis on which (i) the Passenger Rail Agency of South Africa (Prasa) and (ii) Metrorail are renting diesel locomotives from Transnet, (b) number of Transnet locomotives have been in use under the specified rental, lease and/or loan agreemen</w:t>
      </w:r>
      <w:r w:rsidRPr="00701C41">
        <w:rPr>
          <w:sz w:val="20"/>
          <w:szCs w:val="20"/>
        </w:rPr>
        <w:t>t conditions in the past 36 months and (c) operational costs on the Transnet locomotives were carried by (i) Prasa and (ii) Metrorail during the past 36 months?</w:t>
      </w:r>
      <w:r w:rsidRPr="00701C41">
        <w:rPr>
          <w:spacing w:val="28"/>
          <w:sz w:val="20"/>
          <w:szCs w:val="20"/>
        </w:rPr>
        <w:t xml:space="preserve"> </w:t>
      </w:r>
      <w:r w:rsidRPr="00701C41">
        <w:rPr>
          <w:sz w:val="20"/>
          <w:szCs w:val="20"/>
        </w:rPr>
        <w:t>NW2921E</w:t>
      </w:r>
    </w:p>
    <w:p w:rsidR="00462030" w:rsidRPr="00701C41" w:rsidRDefault="00462030" w:rsidP="00701C41">
      <w:pPr>
        <w:pStyle w:val="BodyText"/>
        <w:rPr>
          <w:sz w:val="20"/>
          <w:szCs w:val="20"/>
        </w:rPr>
      </w:pPr>
    </w:p>
    <w:p w:rsidR="00462030" w:rsidRPr="00701C41" w:rsidRDefault="00394496" w:rsidP="00701C41">
      <w:pPr>
        <w:pStyle w:val="Heading1"/>
        <w:rPr>
          <w:sz w:val="20"/>
          <w:szCs w:val="20"/>
        </w:rPr>
      </w:pPr>
      <w:r w:rsidRPr="00701C41">
        <w:rPr>
          <w:sz w:val="20"/>
          <w:szCs w:val="20"/>
        </w:rPr>
        <w:t>REPLY</w:t>
      </w:r>
    </w:p>
    <w:p w:rsidR="00462030" w:rsidRPr="00701C41" w:rsidRDefault="00462030" w:rsidP="00701C41">
      <w:pPr>
        <w:pStyle w:val="BodyText"/>
        <w:rPr>
          <w:b/>
          <w:sz w:val="20"/>
          <w:szCs w:val="20"/>
        </w:rPr>
      </w:pPr>
    </w:p>
    <w:p w:rsidR="00462030" w:rsidRPr="00701C41" w:rsidRDefault="00394496" w:rsidP="00701C41">
      <w:pPr>
        <w:pStyle w:val="ListParagraph"/>
        <w:numPr>
          <w:ilvl w:val="0"/>
          <w:numId w:val="1"/>
        </w:numPr>
        <w:tabs>
          <w:tab w:val="left" w:pos="685"/>
        </w:tabs>
        <w:ind w:right="219"/>
        <w:rPr>
          <w:sz w:val="20"/>
          <w:szCs w:val="20"/>
        </w:rPr>
      </w:pPr>
      <w:r w:rsidRPr="00701C41">
        <w:rPr>
          <w:sz w:val="20"/>
          <w:szCs w:val="20"/>
        </w:rPr>
        <w:t>(i) &amp; (ii) Leasing and usage of locomotives does not take place at PRASA Corpor</w:t>
      </w:r>
      <w:r w:rsidRPr="00701C41">
        <w:rPr>
          <w:sz w:val="20"/>
          <w:szCs w:val="20"/>
        </w:rPr>
        <w:t>ate, but happens at regional</w:t>
      </w:r>
      <w:r w:rsidRPr="00701C41">
        <w:rPr>
          <w:spacing w:val="-4"/>
          <w:sz w:val="20"/>
          <w:szCs w:val="20"/>
        </w:rPr>
        <w:t xml:space="preserve"> </w:t>
      </w:r>
      <w:r w:rsidRPr="00701C41">
        <w:rPr>
          <w:sz w:val="20"/>
          <w:szCs w:val="20"/>
        </w:rPr>
        <w:t>level.</w:t>
      </w:r>
    </w:p>
    <w:p w:rsidR="00462030" w:rsidRPr="00701C41" w:rsidRDefault="00462030" w:rsidP="00701C41">
      <w:pPr>
        <w:pStyle w:val="BodyText"/>
        <w:rPr>
          <w:sz w:val="20"/>
          <w:szCs w:val="20"/>
        </w:rPr>
      </w:pPr>
    </w:p>
    <w:p w:rsidR="00462030" w:rsidRPr="00701C41" w:rsidRDefault="00394496" w:rsidP="00701C41">
      <w:pPr>
        <w:pStyle w:val="BodyText"/>
        <w:ind w:left="684" w:right="213"/>
        <w:rPr>
          <w:sz w:val="20"/>
          <w:szCs w:val="20"/>
        </w:rPr>
      </w:pPr>
      <w:r w:rsidRPr="00701C41">
        <w:rPr>
          <w:sz w:val="20"/>
          <w:szCs w:val="20"/>
        </w:rPr>
        <w:t>Gauteng Metrorail is currently leasing shunting locomotives which are primarily supposed to be used for shunting operations in the marshalling yards at Wolmerton and Braamfontein depots.</w:t>
      </w:r>
    </w:p>
    <w:p w:rsidR="00462030" w:rsidRPr="00701C41" w:rsidRDefault="00462030" w:rsidP="00701C41">
      <w:pPr>
        <w:pStyle w:val="BodyText"/>
        <w:rPr>
          <w:sz w:val="20"/>
          <w:szCs w:val="20"/>
        </w:rPr>
      </w:pPr>
    </w:p>
    <w:p w:rsidR="00462030" w:rsidRPr="00701C41" w:rsidRDefault="00394496" w:rsidP="00701C41">
      <w:pPr>
        <w:pStyle w:val="BodyText"/>
        <w:ind w:left="684" w:right="215"/>
        <w:rPr>
          <w:sz w:val="20"/>
          <w:szCs w:val="20"/>
        </w:rPr>
      </w:pPr>
      <w:r w:rsidRPr="00701C41">
        <w:rPr>
          <w:sz w:val="20"/>
          <w:szCs w:val="20"/>
        </w:rPr>
        <w:t>The Eastern Cape service are op</w:t>
      </w:r>
      <w:r w:rsidRPr="00701C41">
        <w:rPr>
          <w:sz w:val="20"/>
          <w:szCs w:val="20"/>
        </w:rPr>
        <w:t>erated with diesel locomotives as opposed to electrified motor coaches as PRASA has a 25KV AC overhead voltage as opposed to 3KV DC in other regions/provinces for commuter services.</w:t>
      </w:r>
    </w:p>
    <w:p w:rsidR="00462030" w:rsidRPr="00701C41" w:rsidRDefault="00462030" w:rsidP="00701C41">
      <w:pPr>
        <w:pStyle w:val="BodyText"/>
        <w:rPr>
          <w:sz w:val="20"/>
          <w:szCs w:val="20"/>
        </w:rPr>
      </w:pPr>
    </w:p>
    <w:p w:rsidR="00462030" w:rsidRPr="00701C41" w:rsidRDefault="00394496" w:rsidP="00701C41">
      <w:pPr>
        <w:pStyle w:val="BodyText"/>
        <w:ind w:left="684" w:right="214"/>
        <w:rPr>
          <w:sz w:val="20"/>
          <w:szCs w:val="20"/>
        </w:rPr>
      </w:pPr>
      <w:r w:rsidRPr="00701C41">
        <w:rPr>
          <w:sz w:val="20"/>
          <w:szCs w:val="20"/>
        </w:rPr>
        <w:t>In the Western Cape diesel locomotives are leased for hauling movements o</w:t>
      </w:r>
      <w:r w:rsidRPr="00701C41">
        <w:rPr>
          <w:sz w:val="20"/>
          <w:szCs w:val="20"/>
        </w:rPr>
        <w:t>f train sets/wagons/coaches where no Over Head Traction Equipment is available to enable self powering of motor coaches. Metrorail also lease diesel locomotives for shunting purposes of coaches and train sets within the maintenance yards, other related dep</w:t>
      </w:r>
      <w:r w:rsidRPr="00701C41">
        <w:rPr>
          <w:sz w:val="20"/>
          <w:szCs w:val="20"/>
        </w:rPr>
        <w:t>ots as well as for train set rescue in section and emergency during incidents/accidents.</w:t>
      </w:r>
    </w:p>
    <w:p w:rsidR="00462030" w:rsidRPr="00701C41" w:rsidRDefault="00462030" w:rsidP="00701C41">
      <w:pPr>
        <w:pStyle w:val="BodyText"/>
        <w:rPr>
          <w:sz w:val="20"/>
          <w:szCs w:val="20"/>
        </w:rPr>
      </w:pPr>
    </w:p>
    <w:p w:rsidR="00462030" w:rsidRPr="00701C41" w:rsidRDefault="00394496" w:rsidP="00701C41">
      <w:pPr>
        <w:pStyle w:val="BodyText"/>
        <w:ind w:left="684" w:right="215"/>
        <w:rPr>
          <w:sz w:val="20"/>
          <w:szCs w:val="20"/>
        </w:rPr>
      </w:pPr>
      <w:r w:rsidRPr="00701C41">
        <w:rPr>
          <w:sz w:val="20"/>
          <w:szCs w:val="20"/>
        </w:rPr>
        <w:t>KZN Metrorail is currently leasing shunting locomotives which is primarily used for shunting operations in the Durban marshalling yard and in Springfield maintenance yard.</w:t>
      </w:r>
    </w:p>
    <w:p w:rsidR="00462030" w:rsidRPr="00701C41" w:rsidRDefault="00462030" w:rsidP="00701C41">
      <w:pPr>
        <w:pStyle w:val="BodyText"/>
        <w:rPr>
          <w:sz w:val="20"/>
          <w:szCs w:val="20"/>
        </w:rPr>
      </w:pPr>
    </w:p>
    <w:p w:rsidR="00462030" w:rsidRPr="00701C41" w:rsidRDefault="00394496" w:rsidP="00701C41">
      <w:pPr>
        <w:pStyle w:val="ListParagraph"/>
        <w:numPr>
          <w:ilvl w:val="0"/>
          <w:numId w:val="1"/>
        </w:numPr>
        <w:tabs>
          <w:tab w:val="left" w:pos="685"/>
        </w:tabs>
        <w:ind w:right="213"/>
        <w:rPr>
          <w:sz w:val="20"/>
          <w:szCs w:val="20"/>
        </w:rPr>
      </w:pPr>
      <w:r w:rsidRPr="00701C41">
        <w:rPr>
          <w:sz w:val="20"/>
          <w:szCs w:val="20"/>
        </w:rPr>
        <w:t>The number of Transnet locomotives that have been in use under the specified rental</w:t>
      </w:r>
      <w:r w:rsidRPr="00701C41">
        <w:rPr>
          <w:sz w:val="20"/>
          <w:szCs w:val="20"/>
        </w:rPr>
        <w:t>, lease and/or loan agreement conditions in the past 36 months are as follows:</w:t>
      </w:r>
    </w:p>
    <w:p w:rsidR="00462030" w:rsidRPr="00701C41" w:rsidRDefault="00462030" w:rsidP="00701C41">
      <w:pPr>
        <w:pStyle w:val="BodyText"/>
        <w:rPr>
          <w:sz w:val="20"/>
          <w:szCs w:val="20"/>
        </w:rPr>
      </w:pPr>
    </w:p>
    <w:tbl>
      <w:tblPr>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0"/>
        <w:gridCol w:w="1661"/>
        <w:gridCol w:w="1645"/>
        <w:gridCol w:w="1657"/>
        <w:gridCol w:w="1668"/>
      </w:tblGrid>
      <w:tr w:rsidR="00462030" w:rsidRPr="00701C41">
        <w:trPr>
          <w:trHeight w:val="292"/>
        </w:trPr>
        <w:tc>
          <w:tcPr>
            <w:tcW w:w="1690" w:type="dxa"/>
          </w:tcPr>
          <w:p w:rsidR="00462030" w:rsidRPr="00701C41" w:rsidRDefault="00394496" w:rsidP="00701C41">
            <w:pPr>
              <w:pStyle w:val="TableParagraph"/>
              <w:spacing w:line="240" w:lineRule="auto"/>
              <w:ind w:right="484"/>
              <w:jc w:val="left"/>
              <w:rPr>
                <w:sz w:val="20"/>
                <w:szCs w:val="20"/>
              </w:rPr>
            </w:pPr>
            <w:r w:rsidRPr="00701C41">
              <w:rPr>
                <w:sz w:val="20"/>
                <w:szCs w:val="20"/>
              </w:rPr>
              <w:t>Region</w:t>
            </w:r>
          </w:p>
        </w:tc>
        <w:tc>
          <w:tcPr>
            <w:tcW w:w="1661" w:type="dxa"/>
          </w:tcPr>
          <w:p w:rsidR="00462030" w:rsidRPr="00701C41" w:rsidRDefault="00394496" w:rsidP="00701C41">
            <w:pPr>
              <w:pStyle w:val="TableParagraph"/>
              <w:spacing w:line="240" w:lineRule="auto"/>
              <w:ind w:left="386" w:right="381"/>
              <w:jc w:val="left"/>
              <w:rPr>
                <w:sz w:val="20"/>
                <w:szCs w:val="20"/>
              </w:rPr>
            </w:pPr>
            <w:r w:rsidRPr="00701C41">
              <w:rPr>
                <w:sz w:val="20"/>
                <w:szCs w:val="20"/>
              </w:rPr>
              <w:t>Gauteng</w:t>
            </w:r>
          </w:p>
        </w:tc>
        <w:tc>
          <w:tcPr>
            <w:tcW w:w="1645" w:type="dxa"/>
          </w:tcPr>
          <w:p w:rsidR="00462030" w:rsidRPr="00701C41" w:rsidRDefault="00394496" w:rsidP="00701C41">
            <w:pPr>
              <w:pStyle w:val="TableParagraph"/>
              <w:spacing w:line="240" w:lineRule="auto"/>
              <w:ind w:left="126" w:right="123"/>
              <w:jc w:val="left"/>
              <w:rPr>
                <w:sz w:val="20"/>
                <w:szCs w:val="20"/>
              </w:rPr>
            </w:pPr>
            <w:r w:rsidRPr="00701C41">
              <w:rPr>
                <w:sz w:val="20"/>
                <w:szCs w:val="20"/>
              </w:rPr>
              <w:t>Eastern Cape</w:t>
            </w:r>
          </w:p>
        </w:tc>
        <w:tc>
          <w:tcPr>
            <w:tcW w:w="1657" w:type="dxa"/>
          </w:tcPr>
          <w:p w:rsidR="00462030" w:rsidRPr="00701C41" w:rsidRDefault="00394496" w:rsidP="00701C41">
            <w:pPr>
              <w:pStyle w:val="TableParagraph"/>
              <w:spacing w:line="240" w:lineRule="auto"/>
              <w:ind w:left="104" w:right="95"/>
              <w:jc w:val="left"/>
              <w:rPr>
                <w:sz w:val="20"/>
                <w:szCs w:val="20"/>
              </w:rPr>
            </w:pPr>
            <w:r w:rsidRPr="00701C41">
              <w:rPr>
                <w:sz w:val="20"/>
                <w:szCs w:val="20"/>
              </w:rPr>
              <w:t>Western Cape</w:t>
            </w:r>
          </w:p>
        </w:tc>
        <w:tc>
          <w:tcPr>
            <w:tcW w:w="1668" w:type="dxa"/>
          </w:tcPr>
          <w:p w:rsidR="00462030" w:rsidRPr="00701C41" w:rsidRDefault="00394496" w:rsidP="00701C41">
            <w:pPr>
              <w:pStyle w:val="TableParagraph"/>
              <w:spacing w:line="240" w:lineRule="auto"/>
              <w:ind w:left="101" w:right="98"/>
              <w:jc w:val="left"/>
              <w:rPr>
                <w:sz w:val="20"/>
                <w:szCs w:val="20"/>
              </w:rPr>
            </w:pPr>
            <w:r w:rsidRPr="00701C41">
              <w:rPr>
                <w:sz w:val="20"/>
                <w:szCs w:val="20"/>
              </w:rPr>
              <w:t>Kwazulu-Natal</w:t>
            </w:r>
          </w:p>
        </w:tc>
      </w:tr>
      <w:tr w:rsidR="00462030" w:rsidRPr="00701C41">
        <w:trPr>
          <w:trHeight w:val="290"/>
        </w:trPr>
        <w:tc>
          <w:tcPr>
            <w:tcW w:w="1690" w:type="dxa"/>
          </w:tcPr>
          <w:p w:rsidR="00462030" w:rsidRPr="00701C41" w:rsidRDefault="00394496" w:rsidP="00701C41">
            <w:pPr>
              <w:pStyle w:val="TableParagraph"/>
              <w:spacing w:line="240" w:lineRule="auto"/>
              <w:ind w:right="527"/>
              <w:jc w:val="left"/>
              <w:rPr>
                <w:sz w:val="20"/>
                <w:szCs w:val="20"/>
              </w:rPr>
            </w:pPr>
            <w:r w:rsidRPr="00701C41">
              <w:rPr>
                <w:sz w:val="20"/>
                <w:szCs w:val="20"/>
              </w:rPr>
              <w:t>2019/2020</w:t>
            </w:r>
          </w:p>
        </w:tc>
        <w:tc>
          <w:tcPr>
            <w:tcW w:w="1661" w:type="dxa"/>
          </w:tcPr>
          <w:p w:rsidR="00462030" w:rsidRPr="00701C41" w:rsidRDefault="00394496" w:rsidP="00701C41">
            <w:pPr>
              <w:pStyle w:val="TableParagraph"/>
              <w:spacing w:line="240" w:lineRule="auto"/>
              <w:ind w:left="7"/>
              <w:jc w:val="left"/>
              <w:rPr>
                <w:sz w:val="20"/>
                <w:szCs w:val="20"/>
              </w:rPr>
            </w:pPr>
            <w:r w:rsidRPr="00701C41">
              <w:rPr>
                <w:sz w:val="20"/>
                <w:szCs w:val="20"/>
              </w:rPr>
              <w:t>4</w:t>
            </w:r>
          </w:p>
        </w:tc>
        <w:tc>
          <w:tcPr>
            <w:tcW w:w="1645" w:type="dxa"/>
          </w:tcPr>
          <w:p w:rsidR="00462030" w:rsidRPr="00701C41" w:rsidRDefault="00394496" w:rsidP="00701C41">
            <w:pPr>
              <w:pStyle w:val="TableParagraph"/>
              <w:spacing w:line="240" w:lineRule="auto"/>
              <w:ind w:left="4"/>
              <w:jc w:val="left"/>
              <w:rPr>
                <w:sz w:val="20"/>
                <w:szCs w:val="20"/>
              </w:rPr>
            </w:pPr>
            <w:r w:rsidRPr="00701C41">
              <w:rPr>
                <w:sz w:val="20"/>
                <w:szCs w:val="20"/>
              </w:rPr>
              <w:t>8</w:t>
            </w:r>
          </w:p>
        </w:tc>
        <w:tc>
          <w:tcPr>
            <w:tcW w:w="1657" w:type="dxa"/>
          </w:tcPr>
          <w:p w:rsidR="00462030" w:rsidRPr="00701C41" w:rsidRDefault="00394496" w:rsidP="00701C41">
            <w:pPr>
              <w:pStyle w:val="TableParagraph"/>
              <w:spacing w:line="240" w:lineRule="auto"/>
              <w:ind w:left="5"/>
              <w:jc w:val="left"/>
              <w:rPr>
                <w:sz w:val="20"/>
                <w:szCs w:val="20"/>
              </w:rPr>
            </w:pPr>
            <w:r w:rsidRPr="00701C41">
              <w:rPr>
                <w:sz w:val="20"/>
                <w:szCs w:val="20"/>
              </w:rPr>
              <w:t>1</w:t>
            </w:r>
          </w:p>
        </w:tc>
        <w:tc>
          <w:tcPr>
            <w:tcW w:w="1668" w:type="dxa"/>
          </w:tcPr>
          <w:p w:rsidR="00462030" w:rsidRPr="00701C41" w:rsidRDefault="00394496" w:rsidP="00701C41">
            <w:pPr>
              <w:pStyle w:val="TableParagraph"/>
              <w:spacing w:line="240" w:lineRule="auto"/>
              <w:ind w:left="3"/>
              <w:jc w:val="left"/>
              <w:rPr>
                <w:sz w:val="20"/>
                <w:szCs w:val="20"/>
              </w:rPr>
            </w:pPr>
            <w:r w:rsidRPr="00701C41">
              <w:rPr>
                <w:sz w:val="20"/>
                <w:szCs w:val="20"/>
              </w:rPr>
              <w:t>1</w:t>
            </w:r>
          </w:p>
        </w:tc>
      </w:tr>
      <w:tr w:rsidR="00462030" w:rsidRPr="00701C41">
        <w:trPr>
          <w:trHeight w:val="290"/>
        </w:trPr>
        <w:tc>
          <w:tcPr>
            <w:tcW w:w="1690" w:type="dxa"/>
          </w:tcPr>
          <w:p w:rsidR="00462030" w:rsidRPr="00701C41" w:rsidRDefault="00394496" w:rsidP="00701C41">
            <w:pPr>
              <w:pStyle w:val="TableParagraph"/>
              <w:spacing w:line="240" w:lineRule="auto"/>
              <w:ind w:right="527"/>
              <w:jc w:val="left"/>
              <w:rPr>
                <w:sz w:val="20"/>
                <w:szCs w:val="20"/>
              </w:rPr>
            </w:pPr>
            <w:r w:rsidRPr="00701C41">
              <w:rPr>
                <w:sz w:val="20"/>
                <w:szCs w:val="20"/>
              </w:rPr>
              <w:t>2020/2021</w:t>
            </w:r>
          </w:p>
        </w:tc>
        <w:tc>
          <w:tcPr>
            <w:tcW w:w="1661" w:type="dxa"/>
          </w:tcPr>
          <w:p w:rsidR="00462030" w:rsidRPr="00701C41" w:rsidRDefault="00394496" w:rsidP="00701C41">
            <w:pPr>
              <w:pStyle w:val="TableParagraph"/>
              <w:spacing w:line="240" w:lineRule="auto"/>
              <w:ind w:left="7"/>
              <w:jc w:val="left"/>
              <w:rPr>
                <w:sz w:val="20"/>
                <w:szCs w:val="20"/>
              </w:rPr>
            </w:pPr>
            <w:r w:rsidRPr="00701C41">
              <w:rPr>
                <w:sz w:val="20"/>
                <w:szCs w:val="20"/>
              </w:rPr>
              <w:t>4</w:t>
            </w:r>
          </w:p>
        </w:tc>
        <w:tc>
          <w:tcPr>
            <w:tcW w:w="1645" w:type="dxa"/>
          </w:tcPr>
          <w:p w:rsidR="00462030" w:rsidRPr="00701C41" w:rsidRDefault="00394496" w:rsidP="00701C41">
            <w:pPr>
              <w:pStyle w:val="TableParagraph"/>
              <w:spacing w:line="240" w:lineRule="auto"/>
              <w:ind w:left="125" w:right="123"/>
              <w:jc w:val="left"/>
              <w:rPr>
                <w:sz w:val="20"/>
                <w:szCs w:val="20"/>
              </w:rPr>
            </w:pPr>
            <w:r w:rsidRPr="00701C41">
              <w:rPr>
                <w:sz w:val="20"/>
                <w:szCs w:val="20"/>
              </w:rPr>
              <w:t>10</w:t>
            </w:r>
          </w:p>
        </w:tc>
        <w:tc>
          <w:tcPr>
            <w:tcW w:w="1657" w:type="dxa"/>
          </w:tcPr>
          <w:p w:rsidR="00462030" w:rsidRPr="00701C41" w:rsidRDefault="00394496" w:rsidP="00701C41">
            <w:pPr>
              <w:pStyle w:val="TableParagraph"/>
              <w:spacing w:line="240" w:lineRule="auto"/>
              <w:ind w:left="5"/>
              <w:jc w:val="left"/>
              <w:rPr>
                <w:sz w:val="20"/>
                <w:szCs w:val="20"/>
              </w:rPr>
            </w:pPr>
            <w:r w:rsidRPr="00701C41">
              <w:rPr>
                <w:sz w:val="20"/>
                <w:szCs w:val="20"/>
              </w:rPr>
              <w:t>1</w:t>
            </w:r>
          </w:p>
        </w:tc>
        <w:tc>
          <w:tcPr>
            <w:tcW w:w="1668" w:type="dxa"/>
          </w:tcPr>
          <w:p w:rsidR="00462030" w:rsidRPr="00701C41" w:rsidRDefault="00394496" w:rsidP="00701C41">
            <w:pPr>
              <w:pStyle w:val="TableParagraph"/>
              <w:spacing w:line="240" w:lineRule="auto"/>
              <w:ind w:left="3"/>
              <w:jc w:val="left"/>
              <w:rPr>
                <w:sz w:val="20"/>
                <w:szCs w:val="20"/>
              </w:rPr>
            </w:pPr>
            <w:r w:rsidRPr="00701C41">
              <w:rPr>
                <w:sz w:val="20"/>
                <w:szCs w:val="20"/>
              </w:rPr>
              <w:t>1</w:t>
            </w:r>
          </w:p>
        </w:tc>
      </w:tr>
      <w:tr w:rsidR="00462030" w:rsidRPr="00701C41">
        <w:trPr>
          <w:trHeight w:val="582"/>
        </w:trPr>
        <w:tc>
          <w:tcPr>
            <w:tcW w:w="1690" w:type="dxa"/>
          </w:tcPr>
          <w:p w:rsidR="00462030" w:rsidRPr="00701C41" w:rsidRDefault="00394496" w:rsidP="00701C41">
            <w:pPr>
              <w:pStyle w:val="TableParagraph"/>
              <w:tabs>
                <w:tab w:val="left" w:pos="1398"/>
              </w:tabs>
              <w:spacing w:line="240" w:lineRule="auto"/>
              <w:ind w:left="107"/>
              <w:jc w:val="left"/>
              <w:rPr>
                <w:sz w:val="20"/>
                <w:szCs w:val="20"/>
              </w:rPr>
            </w:pPr>
            <w:r w:rsidRPr="00701C41">
              <w:rPr>
                <w:sz w:val="20"/>
                <w:szCs w:val="20"/>
              </w:rPr>
              <w:t>2021/2022</w:t>
            </w:r>
            <w:r w:rsidRPr="00701C41">
              <w:rPr>
                <w:sz w:val="20"/>
                <w:szCs w:val="20"/>
              </w:rPr>
              <w:tab/>
              <w:t>to</w:t>
            </w:r>
          </w:p>
          <w:p w:rsidR="00462030" w:rsidRPr="00701C41" w:rsidRDefault="00394496" w:rsidP="00701C41">
            <w:pPr>
              <w:pStyle w:val="TableParagraph"/>
              <w:spacing w:line="240" w:lineRule="auto"/>
              <w:ind w:left="107"/>
              <w:jc w:val="left"/>
              <w:rPr>
                <w:sz w:val="20"/>
                <w:szCs w:val="20"/>
              </w:rPr>
            </w:pPr>
            <w:r w:rsidRPr="00701C41">
              <w:rPr>
                <w:sz w:val="20"/>
                <w:szCs w:val="20"/>
              </w:rPr>
              <w:t>date</w:t>
            </w:r>
          </w:p>
        </w:tc>
        <w:tc>
          <w:tcPr>
            <w:tcW w:w="1661" w:type="dxa"/>
          </w:tcPr>
          <w:p w:rsidR="00462030" w:rsidRPr="00701C41" w:rsidRDefault="00394496" w:rsidP="00701C41">
            <w:pPr>
              <w:pStyle w:val="TableParagraph"/>
              <w:spacing w:line="240" w:lineRule="auto"/>
              <w:ind w:left="7"/>
              <w:jc w:val="left"/>
              <w:rPr>
                <w:sz w:val="20"/>
                <w:szCs w:val="20"/>
              </w:rPr>
            </w:pPr>
            <w:r w:rsidRPr="00701C41">
              <w:rPr>
                <w:sz w:val="20"/>
                <w:szCs w:val="20"/>
              </w:rPr>
              <w:t>8</w:t>
            </w:r>
          </w:p>
        </w:tc>
        <w:tc>
          <w:tcPr>
            <w:tcW w:w="1645" w:type="dxa"/>
          </w:tcPr>
          <w:p w:rsidR="00462030" w:rsidRPr="00701C41" w:rsidRDefault="00394496" w:rsidP="00701C41">
            <w:pPr>
              <w:pStyle w:val="TableParagraph"/>
              <w:spacing w:line="240" w:lineRule="auto"/>
              <w:ind w:left="4"/>
              <w:jc w:val="left"/>
              <w:rPr>
                <w:sz w:val="20"/>
                <w:szCs w:val="20"/>
              </w:rPr>
            </w:pPr>
            <w:r w:rsidRPr="00701C41">
              <w:rPr>
                <w:sz w:val="20"/>
                <w:szCs w:val="20"/>
              </w:rPr>
              <w:t>0</w:t>
            </w:r>
          </w:p>
        </w:tc>
        <w:tc>
          <w:tcPr>
            <w:tcW w:w="1657" w:type="dxa"/>
          </w:tcPr>
          <w:p w:rsidR="00462030" w:rsidRPr="00701C41" w:rsidRDefault="00394496" w:rsidP="00701C41">
            <w:pPr>
              <w:pStyle w:val="TableParagraph"/>
              <w:spacing w:line="240" w:lineRule="auto"/>
              <w:ind w:left="5"/>
              <w:jc w:val="left"/>
              <w:rPr>
                <w:sz w:val="20"/>
                <w:szCs w:val="20"/>
              </w:rPr>
            </w:pPr>
            <w:r w:rsidRPr="00701C41">
              <w:rPr>
                <w:sz w:val="20"/>
                <w:szCs w:val="20"/>
              </w:rPr>
              <w:t>1</w:t>
            </w:r>
          </w:p>
        </w:tc>
        <w:tc>
          <w:tcPr>
            <w:tcW w:w="1668" w:type="dxa"/>
          </w:tcPr>
          <w:p w:rsidR="00462030" w:rsidRPr="00701C41" w:rsidRDefault="00394496" w:rsidP="00701C41">
            <w:pPr>
              <w:pStyle w:val="TableParagraph"/>
              <w:spacing w:line="240" w:lineRule="auto"/>
              <w:ind w:left="3"/>
              <w:jc w:val="left"/>
              <w:rPr>
                <w:sz w:val="20"/>
                <w:szCs w:val="20"/>
              </w:rPr>
            </w:pPr>
            <w:r w:rsidRPr="00701C41">
              <w:rPr>
                <w:sz w:val="20"/>
                <w:szCs w:val="20"/>
              </w:rPr>
              <w:t>1</w:t>
            </w:r>
          </w:p>
        </w:tc>
      </w:tr>
    </w:tbl>
    <w:p w:rsidR="00462030" w:rsidRPr="00701C41" w:rsidRDefault="00462030" w:rsidP="00701C41">
      <w:pPr>
        <w:pStyle w:val="BodyText"/>
        <w:rPr>
          <w:sz w:val="20"/>
          <w:szCs w:val="20"/>
        </w:rPr>
      </w:pPr>
    </w:p>
    <w:p w:rsidR="00462030" w:rsidRPr="00701C41" w:rsidRDefault="00462030" w:rsidP="00701C41">
      <w:pPr>
        <w:pStyle w:val="BodyText"/>
        <w:rPr>
          <w:sz w:val="20"/>
          <w:szCs w:val="20"/>
        </w:rPr>
      </w:pPr>
    </w:p>
    <w:p w:rsidR="00462030" w:rsidRPr="00701C41" w:rsidRDefault="00394496" w:rsidP="00701C41">
      <w:pPr>
        <w:pStyle w:val="ListParagraph"/>
        <w:numPr>
          <w:ilvl w:val="0"/>
          <w:numId w:val="1"/>
        </w:numPr>
        <w:tabs>
          <w:tab w:val="left" w:pos="684"/>
          <w:tab w:val="left" w:pos="685"/>
        </w:tabs>
        <w:rPr>
          <w:sz w:val="20"/>
          <w:szCs w:val="20"/>
        </w:rPr>
      </w:pPr>
      <w:r w:rsidRPr="00701C41">
        <w:rPr>
          <w:sz w:val="20"/>
          <w:szCs w:val="20"/>
        </w:rPr>
        <w:t>Operational costs on Transnet locomotives carried by (i) PRASA and (ii)</w:t>
      </w:r>
      <w:r w:rsidRPr="00701C41">
        <w:rPr>
          <w:spacing w:val="-17"/>
          <w:sz w:val="20"/>
          <w:szCs w:val="20"/>
        </w:rPr>
        <w:t xml:space="preserve"> </w:t>
      </w:r>
      <w:r w:rsidRPr="00701C41">
        <w:rPr>
          <w:sz w:val="20"/>
          <w:szCs w:val="20"/>
        </w:rPr>
        <w:t>Metrorail:</w:t>
      </w:r>
    </w:p>
    <w:p w:rsidR="00462030" w:rsidRPr="00701C41" w:rsidRDefault="00462030" w:rsidP="00701C41">
      <w:pPr>
        <w:pStyle w:val="BodyText"/>
        <w:rPr>
          <w:sz w:val="20"/>
          <w:szCs w:val="20"/>
        </w:rPr>
      </w:pPr>
    </w:p>
    <w:p w:rsidR="00462030" w:rsidRPr="00701C41" w:rsidRDefault="00394496" w:rsidP="00701C41">
      <w:pPr>
        <w:pStyle w:val="ListParagraph"/>
        <w:numPr>
          <w:ilvl w:val="1"/>
          <w:numId w:val="1"/>
        </w:numPr>
        <w:tabs>
          <w:tab w:val="left" w:pos="1250"/>
          <w:tab w:val="left" w:pos="1251"/>
        </w:tabs>
        <w:rPr>
          <w:sz w:val="20"/>
          <w:szCs w:val="20"/>
        </w:rPr>
      </w:pPr>
      <w:r w:rsidRPr="00701C41">
        <w:rPr>
          <w:sz w:val="20"/>
          <w:szCs w:val="20"/>
        </w:rPr>
        <w:t>Refer to response in</w:t>
      </w:r>
      <w:r w:rsidRPr="00701C41">
        <w:rPr>
          <w:spacing w:val="-6"/>
          <w:sz w:val="20"/>
          <w:szCs w:val="20"/>
        </w:rPr>
        <w:t xml:space="preserve"> </w:t>
      </w:r>
      <w:r w:rsidRPr="00701C41">
        <w:rPr>
          <w:sz w:val="20"/>
          <w:szCs w:val="20"/>
        </w:rPr>
        <w:t>(a)</w:t>
      </w:r>
    </w:p>
    <w:p w:rsidR="00462030" w:rsidRPr="00701C41" w:rsidRDefault="00394496" w:rsidP="00701C41">
      <w:pPr>
        <w:pStyle w:val="ListParagraph"/>
        <w:numPr>
          <w:ilvl w:val="1"/>
          <w:numId w:val="1"/>
        </w:numPr>
        <w:tabs>
          <w:tab w:val="left" w:pos="1250"/>
          <w:tab w:val="left" w:pos="1251"/>
        </w:tabs>
        <w:rPr>
          <w:sz w:val="20"/>
          <w:szCs w:val="20"/>
        </w:rPr>
      </w:pPr>
      <w:r w:rsidRPr="00701C41">
        <w:rPr>
          <w:sz w:val="20"/>
          <w:szCs w:val="20"/>
        </w:rPr>
        <w:t>Operation cost per region</w:t>
      </w:r>
    </w:p>
    <w:p w:rsidR="00462030" w:rsidRPr="00701C41" w:rsidRDefault="00462030" w:rsidP="00701C41">
      <w:pPr>
        <w:pStyle w:val="BodyText"/>
        <w:rPr>
          <w:sz w:val="20"/>
          <w:szCs w:val="20"/>
        </w:rPr>
      </w:pPr>
    </w:p>
    <w:tbl>
      <w:tblPr>
        <w:tblW w:w="0" w:type="auto"/>
        <w:tblInd w:w="1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29"/>
        <w:gridCol w:w="3814"/>
      </w:tblGrid>
      <w:tr w:rsidR="00462030" w:rsidRPr="00701C41">
        <w:trPr>
          <w:trHeight w:val="292"/>
        </w:trPr>
        <w:tc>
          <w:tcPr>
            <w:tcW w:w="3829" w:type="dxa"/>
          </w:tcPr>
          <w:p w:rsidR="00462030" w:rsidRPr="00701C41" w:rsidRDefault="00394496" w:rsidP="00701C41">
            <w:pPr>
              <w:pStyle w:val="TableParagraph"/>
              <w:spacing w:line="240" w:lineRule="auto"/>
              <w:ind w:left="1519" w:right="1514"/>
              <w:jc w:val="left"/>
              <w:rPr>
                <w:b/>
                <w:sz w:val="20"/>
                <w:szCs w:val="20"/>
              </w:rPr>
            </w:pPr>
            <w:r w:rsidRPr="00701C41">
              <w:rPr>
                <w:b/>
                <w:sz w:val="20"/>
                <w:szCs w:val="20"/>
              </w:rPr>
              <w:t>Region</w:t>
            </w:r>
          </w:p>
        </w:tc>
        <w:tc>
          <w:tcPr>
            <w:tcW w:w="3814" w:type="dxa"/>
          </w:tcPr>
          <w:p w:rsidR="00462030" w:rsidRPr="00701C41" w:rsidRDefault="00394496" w:rsidP="00701C41">
            <w:pPr>
              <w:pStyle w:val="TableParagraph"/>
              <w:spacing w:line="240" w:lineRule="auto"/>
              <w:ind w:left="1469" w:right="1463"/>
              <w:jc w:val="left"/>
              <w:rPr>
                <w:b/>
                <w:sz w:val="20"/>
                <w:szCs w:val="20"/>
              </w:rPr>
            </w:pPr>
            <w:r w:rsidRPr="00701C41">
              <w:rPr>
                <w:b/>
                <w:sz w:val="20"/>
                <w:szCs w:val="20"/>
              </w:rPr>
              <w:t>Amount</w:t>
            </w:r>
          </w:p>
        </w:tc>
      </w:tr>
      <w:tr w:rsidR="00462030" w:rsidRPr="00701C41">
        <w:trPr>
          <w:trHeight w:val="290"/>
        </w:trPr>
        <w:tc>
          <w:tcPr>
            <w:tcW w:w="3829" w:type="dxa"/>
          </w:tcPr>
          <w:p w:rsidR="00462030" w:rsidRPr="00701C41" w:rsidRDefault="00394496" w:rsidP="00701C41">
            <w:pPr>
              <w:pStyle w:val="TableParagraph"/>
              <w:spacing w:line="240" w:lineRule="auto"/>
              <w:ind w:left="105"/>
              <w:jc w:val="left"/>
              <w:rPr>
                <w:sz w:val="20"/>
                <w:szCs w:val="20"/>
              </w:rPr>
            </w:pPr>
            <w:r w:rsidRPr="00701C41">
              <w:rPr>
                <w:sz w:val="20"/>
                <w:szCs w:val="20"/>
              </w:rPr>
              <w:t>Gauteng Region</w:t>
            </w:r>
          </w:p>
        </w:tc>
        <w:tc>
          <w:tcPr>
            <w:tcW w:w="3814" w:type="dxa"/>
          </w:tcPr>
          <w:p w:rsidR="00462030" w:rsidRPr="00701C41" w:rsidRDefault="00394496" w:rsidP="00701C41">
            <w:pPr>
              <w:pStyle w:val="TableParagraph"/>
              <w:spacing w:line="240" w:lineRule="auto"/>
              <w:ind w:right="93"/>
              <w:jc w:val="left"/>
              <w:rPr>
                <w:sz w:val="20"/>
                <w:szCs w:val="20"/>
              </w:rPr>
            </w:pPr>
            <w:r w:rsidRPr="00701C41">
              <w:rPr>
                <w:sz w:val="20"/>
                <w:szCs w:val="20"/>
              </w:rPr>
              <w:t>R80,735,340-75</w:t>
            </w:r>
          </w:p>
        </w:tc>
      </w:tr>
      <w:tr w:rsidR="00462030" w:rsidRPr="00701C41">
        <w:trPr>
          <w:trHeight w:val="292"/>
        </w:trPr>
        <w:tc>
          <w:tcPr>
            <w:tcW w:w="3829" w:type="dxa"/>
          </w:tcPr>
          <w:p w:rsidR="00462030" w:rsidRPr="00701C41" w:rsidRDefault="00394496" w:rsidP="00701C41">
            <w:pPr>
              <w:pStyle w:val="TableParagraph"/>
              <w:spacing w:line="240" w:lineRule="auto"/>
              <w:ind w:left="105"/>
              <w:jc w:val="left"/>
              <w:rPr>
                <w:sz w:val="20"/>
                <w:szCs w:val="20"/>
              </w:rPr>
            </w:pPr>
            <w:r w:rsidRPr="00701C41">
              <w:rPr>
                <w:sz w:val="20"/>
                <w:szCs w:val="20"/>
              </w:rPr>
              <w:t>Eastern Cape Region</w:t>
            </w:r>
          </w:p>
        </w:tc>
        <w:tc>
          <w:tcPr>
            <w:tcW w:w="3814" w:type="dxa"/>
          </w:tcPr>
          <w:p w:rsidR="00462030" w:rsidRPr="00701C41" w:rsidRDefault="00394496" w:rsidP="00701C41">
            <w:pPr>
              <w:pStyle w:val="TableParagraph"/>
              <w:spacing w:line="240" w:lineRule="auto"/>
              <w:ind w:right="93"/>
              <w:jc w:val="left"/>
              <w:rPr>
                <w:sz w:val="20"/>
                <w:szCs w:val="20"/>
              </w:rPr>
            </w:pPr>
            <w:r w:rsidRPr="00701C41">
              <w:rPr>
                <w:sz w:val="20"/>
                <w:szCs w:val="20"/>
              </w:rPr>
              <w:t>R75,288,586-93</w:t>
            </w:r>
          </w:p>
        </w:tc>
      </w:tr>
      <w:tr w:rsidR="00462030" w:rsidRPr="00701C41">
        <w:trPr>
          <w:trHeight w:val="290"/>
        </w:trPr>
        <w:tc>
          <w:tcPr>
            <w:tcW w:w="3829" w:type="dxa"/>
          </w:tcPr>
          <w:p w:rsidR="00462030" w:rsidRPr="00701C41" w:rsidRDefault="00394496" w:rsidP="00701C41">
            <w:pPr>
              <w:pStyle w:val="TableParagraph"/>
              <w:spacing w:line="240" w:lineRule="auto"/>
              <w:ind w:left="105"/>
              <w:jc w:val="left"/>
              <w:rPr>
                <w:sz w:val="20"/>
                <w:szCs w:val="20"/>
              </w:rPr>
            </w:pPr>
            <w:r w:rsidRPr="00701C41">
              <w:rPr>
                <w:sz w:val="20"/>
                <w:szCs w:val="20"/>
              </w:rPr>
              <w:t>Western Cape Region</w:t>
            </w:r>
          </w:p>
        </w:tc>
        <w:tc>
          <w:tcPr>
            <w:tcW w:w="3814" w:type="dxa"/>
          </w:tcPr>
          <w:p w:rsidR="00462030" w:rsidRPr="00701C41" w:rsidRDefault="00394496" w:rsidP="00701C41">
            <w:pPr>
              <w:pStyle w:val="TableParagraph"/>
              <w:spacing w:line="240" w:lineRule="auto"/>
              <w:ind w:right="93"/>
              <w:jc w:val="left"/>
              <w:rPr>
                <w:sz w:val="20"/>
                <w:szCs w:val="20"/>
              </w:rPr>
            </w:pPr>
            <w:r w:rsidRPr="00701C41">
              <w:rPr>
                <w:sz w:val="20"/>
                <w:szCs w:val="20"/>
              </w:rPr>
              <w:t>R11,079,828-00</w:t>
            </w:r>
          </w:p>
        </w:tc>
      </w:tr>
      <w:tr w:rsidR="00462030" w:rsidRPr="00701C41">
        <w:trPr>
          <w:trHeight w:val="292"/>
        </w:trPr>
        <w:tc>
          <w:tcPr>
            <w:tcW w:w="3829" w:type="dxa"/>
          </w:tcPr>
          <w:p w:rsidR="00462030" w:rsidRPr="00701C41" w:rsidRDefault="00394496" w:rsidP="00701C41">
            <w:pPr>
              <w:pStyle w:val="TableParagraph"/>
              <w:spacing w:line="240" w:lineRule="auto"/>
              <w:ind w:left="105"/>
              <w:jc w:val="left"/>
              <w:rPr>
                <w:sz w:val="20"/>
                <w:szCs w:val="20"/>
              </w:rPr>
            </w:pPr>
            <w:r w:rsidRPr="00701C41">
              <w:rPr>
                <w:sz w:val="20"/>
                <w:szCs w:val="20"/>
              </w:rPr>
              <w:t>Kwazulu Natal Region</w:t>
            </w:r>
          </w:p>
        </w:tc>
        <w:tc>
          <w:tcPr>
            <w:tcW w:w="3814" w:type="dxa"/>
          </w:tcPr>
          <w:p w:rsidR="00462030" w:rsidRPr="00701C41" w:rsidRDefault="00394496" w:rsidP="00701C41">
            <w:pPr>
              <w:pStyle w:val="TableParagraph"/>
              <w:spacing w:line="240" w:lineRule="auto"/>
              <w:ind w:right="93"/>
              <w:jc w:val="left"/>
              <w:rPr>
                <w:sz w:val="20"/>
                <w:szCs w:val="20"/>
              </w:rPr>
            </w:pPr>
            <w:r w:rsidRPr="00701C41">
              <w:rPr>
                <w:sz w:val="20"/>
                <w:szCs w:val="20"/>
              </w:rPr>
              <w:t>R2,168,752-32</w:t>
            </w:r>
          </w:p>
        </w:tc>
      </w:tr>
    </w:tbl>
    <w:p w:rsidR="00394496" w:rsidRPr="00701C41" w:rsidRDefault="00394496" w:rsidP="00701C41">
      <w:pPr>
        <w:rPr>
          <w:sz w:val="20"/>
          <w:szCs w:val="20"/>
        </w:rPr>
      </w:pPr>
    </w:p>
    <w:sectPr w:rsidR="00394496" w:rsidRPr="00701C41" w:rsidSect="00462030">
      <w:pgSz w:w="11910" w:h="16840"/>
      <w:pgMar w:top="1580" w:right="1220" w:bottom="280" w:left="16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43364"/>
    <w:multiLevelType w:val="hybridMultilevel"/>
    <w:tmpl w:val="A4FE529A"/>
    <w:lvl w:ilvl="0" w:tplc="3E8835B0">
      <w:start w:val="1"/>
      <w:numFmt w:val="lowerLetter"/>
      <w:lvlText w:val="(%1)"/>
      <w:lvlJc w:val="left"/>
      <w:pPr>
        <w:ind w:left="684" w:hanging="567"/>
        <w:jc w:val="left"/>
      </w:pPr>
      <w:rPr>
        <w:rFonts w:ascii="Arial" w:eastAsia="Arial" w:hAnsi="Arial" w:cs="Arial" w:hint="default"/>
        <w:w w:val="100"/>
        <w:sz w:val="22"/>
        <w:szCs w:val="22"/>
        <w:lang w:val="en-US" w:eastAsia="en-US" w:bidi="en-US"/>
      </w:rPr>
    </w:lvl>
    <w:lvl w:ilvl="1" w:tplc="0F26660A">
      <w:start w:val="1"/>
      <w:numFmt w:val="lowerRoman"/>
      <w:lvlText w:val="(%2)"/>
      <w:lvlJc w:val="left"/>
      <w:pPr>
        <w:ind w:left="1250" w:hanging="567"/>
        <w:jc w:val="left"/>
      </w:pPr>
      <w:rPr>
        <w:rFonts w:ascii="Arial" w:eastAsia="Arial" w:hAnsi="Arial" w:cs="Arial" w:hint="default"/>
        <w:spacing w:val="-2"/>
        <w:w w:val="100"/>
        <w:sz w:val="22"/>
        <w:szCs w:val="22"/>
        <w:lang w:val="en-US" w:eastAsia="en-US" w:bidi="en-US"/>
      </w:rPr>
    </w:lvl>
    <w:lvl w:ilvl="2" w:tplc="F4C01062">
      <w:numFmt w:val="bullet"/>
      <w:lvlText w:val="•"/>
      <w:lvlJc w:val="left"/>
      <w:pPr>
        <w:ind w:left="2120" w:hanging="567"/>
      </w:pPr>
      <w:rPr>
        <w:rFonts w:hint="default"/>
        <w:lang w:val="en-US" w:eastAsia="en-US" w:bidi="en-US"/>
      </w:rPr>
    </w:lvl>
    <w:lvl w:ilvl="3" w:tplc="CD9EB002">
      <w:numFmt w:val="bullet"/>
      <w:lvlText w:val="•"/>
      <w:lvlJc w:val="left"/>
      <w:pPr>
        <w:ind w:left="2981" w:hanging="567"/>
      </w:pPr>
      <w:rPr>
        <w:rFonts w:hint="default"/>
        <w:lang w:val="en-US" w:eastAsia="en-US" w:bidi="en-US"/>
      </w:rPr>
    </w:lvl>
    <w:lvl w:ilvl="4" w:tplc="CFD84C66">
      <w:numFmt w:val="bullet"/>
      <w:lvlText w:val="•"/>
      <w:lvlJc w:val="left"/>
      <w:pPr>
        <w:ind w:left="3842" w:hanging="567"/>
      </w:pPr>
      <w:rPr>
        <w:rFonts w:hint="default"/>
        <w:lang w:val="en-US" w:eastAsia="en-US" w:bidi="en-US"/>
      </w:rPr>
    </w:lvl>
    <w:lvl w:ilvl="5" w:tplc="3BBAB536">
      <w:numFmt w:val="bullet"/>
      <w:lvlText w:val="•"/>
      <w:lvlJc w:val="left"/>
      <w:pPr>
        <w:ind w:left="4702" w:hanging="567"/>
      </w:pPr>
      <w:rPr>
        <w:rFonts w:hint="default"/>
        <w:lang w:val="en-US" w:eastAsia="en-US" w:bidi="en-US"/>
      </w:rPr>
    </w:lvl>
    <w:lvl w:ilvl="6" w:tplc="62D4E0D0">
      <w:numFmt w:val="bullet"/>
      <w:lvlText w:val="•"/>
      <w:lvlJc w:val="left"/>
      <w:pPr>
        <w:ind w:left="5563" w:hanging="567"/>
      </w:pPr>
      <w:rPr>
        <w:rFonts w:hint="default"/>
        <w:lang w:val="en-US" w:eastAsia="en-US" w:bidi="en-US"/>
      </w:rPr>
    </w:lvl>
    <w:lvl w:ilvl="7" w:tplc="4F282BA0">
      <w:numFmt w:val="bullet"/>
      <w:lvlText w:val="•"/>
      <w:lvlJc w:val="left"/>
      <w:pPr>
        <w:ind w:left="6424" w:hanging="567"/>
      </w:pPr>
      <w:rPr>
        <w:rFonts w:hint="default"/>
        <w:lang w:val="en-US" w:eastAsia="en-US" w:bidi="en-US"/>
      </w:rPr>
    </w:lvl>
    <w:lvl w:ilvl="8" w:tplc="E8BAA6B2">
      <w:numFmt w:val="bullet"/>
      <w:lvlText w:val="•"/>
      <w:lvlJc w:val="left"/>
      <w:pPr>
        <w:ind w:left="7284" w:hanging="567"/>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462030"/>
    <w:rsid w:val="00394496"/>
    <w:rsid w:val="00462030"/>
    <w:rsid w:val="00701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62030"/>
    <w:rPr>
      <w:rFonts w:ascii="Arial" w:eastAsia="Arial" w:hAnsi="Arial" w:cs="Arial"/>
      <w:lang w:bidi="en-US"/>
    </w:rPr>
  </w:style>
  <w:style w:type="paragraph" w:styleId="Heading1">
    <w:name w:val="heading 1"/>
    <w:basedOn w:val="Normal"/>
    <w:uiPriority w:val="1"/>
    <w:qFormat/>
    <w:rsid w:val="00462030"/>
    <w:pPr>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2030"/>
  </w:style>
  <w:style w:type="paragraph" w:styleId="ListParagraph">
    <w:name w:val="List Paragraph"/>
    <w:basedOn w:val="Normal"/>
    <w:uiPriority w:val="1"/>
    <w:qFormat/>
    <w:rsid w:val="00462030"/>
    <w:pPr>
      <w:ind w:left="684" w:hanging="567"/>
    </w:pPr>
  </w:style>
  <w:style w:type="paragraph" w:customStyle="1" w:styleId="TableParagraph">
    <w:name w:val="Table Paragraph"/>
    <w:basedOn w:val="Normal"/>
    <w:uiPriority w:val="1"/>
    <w:qFormat/>
    <w:rsid w:val="00462030"/>
    <w:pPr>
      <w:spacing w:line="250" w:lineRule="exact"/>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dcterms:created xsi:type="dcterms:W3CDTF">2022-01-20T06:57:00Z</dcterms:created>
  <dcterms:modified xsi:type="dcterms:W3CDTF">2022-01-20T09:07:00Z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2021-12-23T00:00:00Z</vt:filetime>
  </property>
  <property fmtid="{D5CDD505-2E9C-101B-9397-08002B2CF9AE}" pid="3" name="Creator">
    <vt:lpwstr>Microsoft® Word 2016</vt:lpwstr>
  </property>
  <property fmtid="{D5CDD505-2E9C-101B-9397-08002B2CF9AE}" pid="4" name="LastSaved">
    <vt:filetime>2022-01-20T00:00:00Z</vt:filetime>
  </property>
</Properties>
</file>