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246" w:rsidRPr="000D2C53"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before="120" w:line="360" w:lineRule="auto"/>
        <w:jc w:val="center"/>
        <w:rPr>
          <w:rFonts w:ascii="Arial" w:hAnsi="Arial" w:cs="Arial"/>
          <w:b/>
          <w:bCs/>
          <w:lang w:val="en-GB"/>
        </w:rPr>
      </w:pPr>
    </w:p>
    <w:p w:rsidR="001E6246" w:rsidRPr="000D2C53"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r>
        <w:rPr>
          <w:noProof/>
        </w:rPr>
        <w:drawing>
          <wp:inline distT="0" distB="0" distL="0" distR="0" wp14:anchorId="5102D1FF" wp14:editId="743F0EC8">
            <wp:extent cx="948055" cy="973455"/>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055" cy="973455"/>
                    </a:xfrm>
                    <a:prstGeom prst="rect">
                      <a:avLst/>
                    </a:prstGeom>
                    <a:noFill/>
                    <a:ln>
                      <a:noFill/>
                    </a:ln>
                  </pic:spPr>
                </pic:pic>
              </a:graphicData>
            </a:graphic>
          </wp:inline>
        </w:drawing>
      </w:r>
    </w:p>
    <w:p w:rsidR="001E6246" w:rsidRPr="004B4AB0"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rPr>
      </w:pPr>
      <w:r w:rsidRPr="004B4AB0">
        <w:rPr>
          <w:rFonts w:ascii="Arial" w:hAnsi="Arial" w:cs="Arial"/>
          <w:b/>
          <w:bCs/>
        </w:rPr>
        <w:t xml:space="preserve">MINISTRY </w:t>
      </w:r>
    </w:p>
    <w:p w:rsidR="001E6246" w:rsidRPr="004B4AB0"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rPr>
      </w:pPr>
      <w:r w:rsidRPr="004B4AB0">
        <w:rPr>
          <w:rFonts w:ascii="Arial" w:hAnsi="Arial" w:cs="Arial"/>
          <w:b/>
          <w:bCs/>
        </w:rPr>
        <w:t>COOPERATIVE GOVERNANCE AND TRADITIONAL AFFAIRS</w:t>
      </w:r>
    </w:p>
    <w:p w:rsidR="001E6246" w:rsidRPr="004B4AB0"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rPr>
      </w:pPr>
      <w:r w:rsidRPr="004B4AB0">
        <w:rPr>
          <w:rFonts w:ascii="Arial" w:hAnsi="Arial" w:cs="Arial"/>
          <w:b/>
          <w:bCs/>
        </w:rPr>
        <w:t>REPUBLIC OF SOUTH AFRICA</w:t>
      </w:r>
    </w:p>
    <w:p w:rsidR="001E6246" w:rsidRPr="004B4AB0"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rPr>
      </w:pPr>
    </w:p>
    <w:p w:rsidR="001E6246" w:rsidRPr="000D2C53"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p>
    <w:p w:rsidR="001E6246" w:rsidRPr="001F72E8"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r w:rsidRPr="001F72E8">
        <w:rPr>
          <w:rFonts w:ascii="Arial" w:hAnsi="Arial" w:cs="Arial"/>
          <w:b/>
          <w:bCs/>
          <w:lang w:val="en-GB"/>
        </w:rPr>
        <w:t xml:space="preserve">NATIONAL </w:t>
      </w:r>
      <w:r>
        <w:rPr>
          <w:rFonts w:ascii="Arial" w:hAnsi="Arial" w:cs="Arial"/>
          <w:b/>
          <w:bCs/>
          <w:lang w:val="en-GB"/>
        </w:rPr>
        <w:t>ASSEMBLY</w:t>
      </w:r>
    </w:p>
    <w:p w:rsidR="001E6246" w:rsidRPr="000D2C53"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p>
    <w:p w:rsidR="001E6246" w:rsidRPr="001F72E8"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r w:rsidRPr="000D2C53">
        <w:rPr>
          <w:rFonts w:ascii="Arial" w:hAnsi="Arial" w:cs="Arial"/>
          <w:b/>
          <w:bCs/>
          <w:lang w:val="en-GB"/>
        </w:rPr>
        <w:t xml:space="preserve">QUESTION FOR </w:t>
      </w:r>
      <w:r>
        <w:rPr>
          <w:rFonts w:ascii="Arial" w:hAnsi="Arial" w:cs="Arial"/>
          <w:b/>
          <w:bCs/>
          <w:lang w:val="en-GB"/>
        </w:rPr>
        <w:t>WRITTEN</w:t>
      </w:r>
      <w:r w:rsidRPr="001F72E8">
        <w:rPr>
          <w:rFonts w:ascii="Arial" w:hAnsi="Arial" w:cs="Arial"/>
          <w:b/>
          <w:bCs/>
          <w:lang w:val="en-GB"/>
        </w:rPr>
        <w:t xml:space="preserve"> REPLY</w:t>
      </w:r>
    </w:p>
    <w:p w:rsidR="001E6246" w:rsidRPr="000D2C53"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p>
    <w:p w:rsidR="001E6246" w:rsidRPr="000D2C53"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r w:rsidRPr="000D2C53">
        <w:rPr>
          <w:rFonts w:ascii="Arial" w:hAnsi="Arial" w:cs="Arial"/>
          <w:b/>
          <w:bCs/>
          <w:lang w:val="en-GB"/>
        </w:rPr>
        <w:t xml:space="preserve">QUESTION NUMBER </w:t>
      </w:r>
      <w:r w:rsidRPr="001F72E8">
        <w:rPr>
          <w:rFonts w:ascii="Arial" w:hAnsi="Arial" w:cs="Arial"/>
          <w:b/>
          <w:bCs/>
          <w:lang w:val="en-GB"/>
        </w:rPr>
        <w:t>201</w:t>
      </w:r>
      <w:r>
        <w:rPr>
          <w:rFonts w:ascii="Arial" w:hAnsi="Arial" w:cs="Arial"/>
          <w:b/>
          <w:bCs/>
          <w:lang w:val="en-GB"/>
        </w:rPr>
        <w:t>8</w:t>
      </w:r>
      <w:r w:rsidR="00632FEF">
        <w:rPr>
          <w:rFonts w:ascii="Arial" w:hAnsi="Arial" w:cs="Arial"/>
          <w:b/>
          <w:bCs/>
          <w:lang w:val="en-GB"/>
        </w:rPr>
        <w:t>/2499</w:t>
      </w:r>
    </w:p>
    <w:p w:rsidR="001E6246" w:rsidRPr="000D2C53"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p>
    <w:p w:rsidR="001E6246" w:rsidRPr="001F72E8"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r w:rsidRPr="000D2C53">
        <w:rPr>
          <w:rFonts w:ascii="Arial" w:hAnsi="Arial" w:cs="Arial"/>
          <w:b/>
          <w:bCs/>
          <w:lang w:val="en-GB"/>
        </w:rPr>
        <w:t xml:space="preserve">DATE OF PUBLICATION: </w:t>
      </w:r>
      <w:r w:rsidR="00632FEF">
        <w:rPr>
          <w:rFonts w:ascii="Arial" w:hAnsi="Arial" w:cs="Arial"/>
          <w:b/>
          <w:bCs/>
          <w:lang w:val="en-GB"/>
        </w:rPr>
        <w:t>31</w:t>
      </w:r>
      <w:r>
        <w:rPr>
          <w:rFonts w:ascii="Arial" w:hAnsi="Arial" w:cs="Arial"/>
          <w:b/>
          <w:bCs/>
          <w:lang w:val="en-GB"/>
        </w:rPr>
        <w:t xml:space="preserve"> AUGUST </w:t>
      </w:r>
      <w:r w:rsidRPr="001F72E8">
        <w:rPr>
          <w:rFonts w:ascii="Arial" w:hAnsi="Arial" w:cs="Arial"/>
          <w:b/>
          <w:bCs/>
          <w:lang w:val="en-GB"/>
        </w:rPr>
        <w:t>201</w:t>
      </w:r>
      <w:r>
        <w:rPr>
          <w:rFonts w:ascii="Arial" w:hAnsi="Arial" w:cs="Arial"/>
          <w:b/>
          <w:bCs/>
          <w:lang w:val="en-GB"/>
        </w:rPr>
        <w:t>8</w:t>
      </w:r>
    </w:p>
    <w:p w:rsidR="001E6246" w:rsidRPr="001F72E8"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p>
    <w:p w:rsidR="001E6246" w:rsidRPr="001F72E8"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r w:rsidRPr="001F72E8">
        <w:rPr>
          <w:rFonts w:ascii="Arial" w:hAnsi="Arial" w:cs="Arial"/>
          <w:b/>
          <w:bCs/>
          <w:lang w:val="en-GB"/>
        </w:rPr>
        <w:t xml:space="preserve">DUE TO PARLIAMENT: </w:t>
      </w:r>
      <w:r>
        <w:rPr>
          <w:rFonts w:ascii="Arial" w:hAnsi="Arial" w:cs="Arial"/>
          <w:b/>
          <w:bCs/>
          <w:lang w:val="en-GB"/>
        </w:rPr>
        <w:t xml:space="preserve"> </w:t>
      </w:r>
      <w:r w:rsidR="00632FEF">
        <w:rPr>
          <w:rFonts w:ascii="Arial" w:hAnsi="Arial" w:cs="Arial"/>
          <w:b/>
          <w:bCs/>
          <w:lang w:val="en-GB"/>
        </w:rPr>
        <w:t>14</w:t>
      </w:r>
      <w:r>
        <w:rPr>
          <w:rFonts w:ascii="Arial" w:hAnsi="Arial" w:cs="Arial"/>
          <w:b/>
          <w:bCs/>
          <w:lang w:val="en-GB"/>
        </w:rPr>
        <w:t xml:space="preserve"> SEPTEMBER</w:t>
      </w:r>
      <w:r w:rsidRPr="001F72E8">
        <w:rPr>
          <w:rFonts w:ascii="Arial" w:hAnsi="Arial" w:cs="Arial"/>
          <w:b/>
          <w:bCs/>
          <w:lang w:val="en-GB"/>
        </w:rPr>
        <w:t xml:space="preserve"> 201</w:t>
      </w:r>
      <w:r>
        <w:rPr>
          <w:rFonts w:ascii="Arial" w:hAnsi="Arial" w:cs="Arial"/>
          <w:b/>
          <w:bCs/>
          <w:lang w:val="en-GB"/>
        </w:rPr>
        <w:t>8</w:t>
      </w:r>
    </w:p>
    <w:p w:rsidR="001E6246" w:rsidRPr="000D2C53"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p>
    <w:p w:rsidR="001E6246" w:rsidRPr="000D2C53"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p>
    <w:p w:rsidR="001E6246" w:rsidRPr="000D2C53"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bCs/>
          <w:lang w:val="en-GB"/>
        </w:rPr>
      </w:pPr>
    </w:p>
    <w:p w:rsidR="001E6246" w:rsidRPr="000D2C53"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bCs/>
          <w:lang w:val="en-GB"/>
        </w:rPr>
      </w:pPr>
      <w:r>
        <w:rPr>
          <w:rFonts w:ascii="Arial" w:hAnsi="Arial" w:cs="Arial"/>
          <w:b/>
          <w:bCs/>
          <w:lang w:val="en-GB"/>
        </w:rPr>
        <w:t>REPLY RECOMMENDED BY MR DMG MASHITISHO</w:t>
      </w:r>
    </w:p>
    <w:p w:rsidR="001E6246"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before="240" w:line="360" w:lineRule="auto"/>
        <w:rPr>
          <w:rFonts w:ascii="Arial" w:hAnsi="Arial" w:cs="Arial"/>
          <w:b/>
          <w:bCs/>
          <w:lang w:val="en-GB"/>
        </w:rPr>
      </w:pPr>
      <w:r>
        <w:rPr>
          <w:rFonts w:ascii="Arial" w:hAnsi="Arial" w:cs="Arial"/>
          <w:b/>
          <w:bCs/>
          <w:lang w:val="en-GB"/>
        </w:rPr>
        <w:t>DIRECTOR</w:t>
      </w:r>
      <w:r w:rsidRPr="000D2C53">
        <w:rPr>
          <w:rFonts w:ascii="Arial" w:hAnsi="Arial" w:cs="Arial"/>
          <w:b/>
          <w:bCs/>
          <w:lang w:val="en-GB"/>
        </w:rPr>
        <w:t>-</w:t>
      </w:r>
      <w:r>
        <w:rPr>
          <w:rFonts w:ascii="Arial" w:hAnsi="Arial" w:cs="Arial"/>
          <w:b/>
          <w:bCs/>
          <w:lang w:val="en-GB"/>
        </w:rPr>
        <w:t>GENERAL</w:t>
      </w:r>
    </w:p>
    <w:p w:rsidR="001E6246" w:rsidRPr="000D2C53"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bCs/>
          <w:lang w:val="en-GB"/>
        </w:rPr>
      </w:pPr>
    </w:p>
    <w:p w:rsidR="001E6246" w:rsidRPr="000D2C53"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bCs/>
          <w:lang w:val="en-GB"/>
        </w:rPr>
      </w:pPr>
    </w:p>
    <w:p w:rsidR="001E6246" w:rsidRPr="000D2C53"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bCs/>
          <w:lang w:val="en-GB"/>
        </w:rPr>
      </w:pPr>
      <w:r w:rsidRPr="000D2C53">
        <w:rPr>
          <w:rFonts w:ascii="Arial" w:hAnsi="Arial" w:cs="Arial"/>
          <w:b/>
          <w:bCs/>
          <w:lang w:val="en-GB"/>
        </w:rPr>
        <w:t>______________________________________________</w:t>
      </w:r>
    </w:p>
    <w:p w:rsidR="001E6246" w:rsidRPr="000D2C53"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bCs/>
          <w:lang w:val="en-GB"/>
        </w:rPr>
      </w:pPr>
      <w:r>
        <w:rPr>
          <w:rFonts w:ascii="Arial" w:hAnsi="Arial" w:cs="Arial"/>
          <w:b/>
          <w:bCs/>
          <w:lang w:val="en-GB"/>
        </w:rPr>
        <w:t xml:space="preserve">THOBANI MATHEZA - </w:t>
      </w:r>
      <w:r w:rsidRPr="000D2C53">
        <w:rPr>
          <w:rFonts w:ascii="Arial" w:hAnsi="Arial" w:cs="Arial"/>
          <w:b/>
          <w:bCs/>
          <w:lang w:val="en-GB"/>
        </w:rPr>
        <w:t>PARLIAMENTARY SERVICES</w:t>
      </w:r>
    </w:p>
    <w:p w:rsidR="001E6246" w:rsidRPr="000D2C53" w:rsidRDefault="001E6246" w:rsidP="001E6246">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bCs/>
          <w:lang w:val="en-GB"/>
        </w:rPr>
      </w:pPr>
      <w:r w:rsidRPr="000D2C53">
        <w:rPr>
          <w:rFonts w:ascii="Arial" w:hAnsi="Arial" w:cs="Arial"/>
          <w:b/>
          <w:bCs/>
          <w:lang w:val="en-GB"/>
        </w:rPr>
        <w:t xml:space="preserve">DATE: </w:t>
      </w:r>
    </w:p>
    <w:p w:rsidR="001E6246" w:rsidRPr="00D2427D" w:rsidRDefault="001E6246" w:rsidP="001E6246">
      <w:pPr>
        <w:spacing w:before="100" w:beforeAutospacing="1" w:after="100" w:afterAutospacing="1"/>
        <w:ind w:left="720" w:hanging="720"/>
        <w:jc w:val="center"/>
        <w:outlineLvl w:val="0"/>
        <w:rPr>
          <w:rFonts w:ascii="Calibri" w:hAnsi="Calibri"/>
          <w:b/>
          <w:lang w:val="en-ZA"/>
        </w:rPr>
      </w:pPr>
      <w:r>
        <w:rPr>
          <w:rFonts w:ascii="Arial" w:hAnsi="Arial" w:cs="Arial"/>
          <w:lang w:val="en-GB"/>
        </w:rPr>
        <w:br w:type="page"/>
      </w:r>
      <w:r>
        <w:rPr>
          <w:noProof/>
        </w:rPr>
        <w:lastRenderedPageBreak/>
        <w:drawing>
          <wp:inline distT="0" distB="0" distL="0" distR="0" wp14:anchorId="3227051E" wp14:editId="1DFC307C">
            <wp:extent cx="948055" cy="973455"/>
            <wp:effectExtent l="0" t="0" r="0" b="0"/>
            <wp:docPr id="2"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055" cy="973455"/>
                    </a:xfrm>
                    <a:prstGeom prst="rect">
                      <a:avLst/>
                    </a:prstGeom>
                    <a:noFill/>
                    <a:ln>
                      <a:noFill/>
                    </a:ln>
                  </pic:spPr>
                </pic:pic>
              </a:graphicData>
            </a:graphic>
          </wp:inline>
        </w:drawing>
      </w:r>
    </w:p>
    <w:p w:rsidR="001E6246" w:rsidRPr="00C96B32" w:rsidRDefault="001E6246" w:rsidP="001E6246">
      <w:pPr>
        <w:jc w:val="center"/>
        <w:rPr>
          <w:rFonts w:ascii="Arial" w:hAnsi="Arial" w:cs="Arial"/>
          <w:b/>
        </w:rPr>
      </w:pPr>
      <w:r>
        <w:rPr>
          <w:rFonts w:ascii="Arial" w:hAnsi="Arial" w:cs="Arial"/>
          <w:b/>
        </w:rPr>
        <w:t xml:space="preserve">MINISTRY FOR </w:t>
      </w:r>
      <w:r w:rsidRPr="00C96B32">
        <w:rPr>
          <w:rFonts w:ascii="Arial" w:hAnsi="Arial" w:cs="Arial"/>
          <w:b/>
        </w:rPr>
        <w:t>COOPERATIVE GOVERNANCE AND TRADITIONAL AFFAIRS</w:t>
      </w:r>
    </w:p>
    <w:p w:rsidR="001E6246" w:rsidRDefault="001E6246" w:rsidP="001E6246">
      <w:pPr>
        <w:pBdr>
          <w:bottom w:val="single" w:sz="6" w:space="1" w:color="auto"/>
        </w:pBdr>
        <w:jc w:val="center"/>
        <w:rPr>
          <w:rFonts w:ascii="Arial" w:hAnsi="Arial" w:cs="Arial"/>
          <w:b/>
        </w:rPr>
      </w:pPr>
      <w:r w:rsidRPr="00C96B32">
        <w:rPr>
          <w:rFonts w:ascii="Arial" w:hAnsi="Arial" w:cs="Arial"/>
          <w:b/>
        </w:rPr>
        <w:t>REPUBLIC OF SOUTH AFRICA</w:t>
      </w:r>
    </w:p>
    <w:p w:rsidR="001E6246" w:rsidRPr="00C96B32" w:rsidRDefault="001E6246" w:rsidP="001E6246">
      <w:pPr>
        <w:pBdr>
          <w:bottom w:val="single" w:sz="6" w:space="1" w:color="auto"/>
        </w:pBdr>
        <w:jc w:val="center"/>
        <w:rPr>
          <w:rFonts w:ascii="Arial" w:hAnsi="Arial" w:cs="Arial"/>
          <w:b/>
        </w:rPr>
      </w:pPr>
    </w:p>
    <w:p w:rsidR="001E6246" w:rsidRDefault="001E6246" w:rsidP="001E6246">
      <w:pPr>
        <w:spacing w:line="360" w:lineRule="auto"/>
        <w:jc w:val="center"/>
        <w:rPr>
          <w:rFonts w:ascii="Arial" w:hAnsi="Arial" w:cs="Arial"/>
          <w:sz w:val="16"/>
          <w:szCs w:val="16"/>
        </w:rPr>
      </w:pPr>
    </w:p>
    <w:p w:rsidR="001E6246" w:rsidRPr="00676E05" w:rsidRDefault="001E6246" w:rsidP="001E6246">
      <w:pPr>
        <w:spacing w:line="360" w:lineRule="auto"/>
        <w:ind w:left="540" w:hanging="540"/>
        <w:jc w:val="center"/>
        <w:rPr>
          <w:rFonts w:ascii="Arial" w:hAnsi="Arial" w:cs="Arial"/>
          <w:b/>
          <w:bCs/>
          <w:color w:val="000000"/>
          <w:lang w:val="en-GB"/>
        </w:rPr>
      </w:pPr>
      <w:r w:rsidRPr="00676E05">
        <w:rPr>
          <w:rFonts w:ascii="Arial" w:hAnsi="Arial" w:cs="Arial"/>
          <w:b/>
          <w:bCs/>
          <w:color w:val="000000"/>
          <w:lang w:val="en-GB"/>
        </w:rPr>
        <w:t>NATIONAL ASSEMBLY</w:t>
      </w:r>
    </w:p>
    <w:p w:rsidR="001E6246" w:rsidRPr="000D2C53" w:rsidRDefault="001E6246" w:rsidP="001E6246">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Pr>
          <w:rFonts w:ascii="Arial" w:hAnsi="Arial" w:cs="Arial"/>
          <w:b/>
          <w:bCs/>
          <w:color w:val="000000"/>
          <w:lang w:val="en-GB"/>
        </w:rPr>
        <w:t>WRITTEN</w:t>
      </w:r>
      <w:r w:rsidRPr="000D2C53">
        <w:rPr>
          <w:rFonts w:ascii="Arial" w:hAnsi="Arial" w:cs="Arial"/>
          <w:b/>
          <w:bCs/>
          <w:color w:val="000000"/>
          <w:lang w:val="en-GB"/>
        </w:rPr>
        <w:t xml:space="preserve"> REPLY</w:t>
      </w:r>
    </w:p>
    <w:p w:rsidR="001E6246" w:rsidRPr="000D2C53" w:rsidRDefault="001E6246" w:rsidP="001E6246">
      <w:pPr>
        <w:spacing w:line="360" w:lineRule="auto"/>
        <w:jc w:val="center"/>
        <w:rPr>
          <w:rFonts w:ascii="Arial" w:hAnsi="Arial" w:cs="Arial"/>
          <w:b/>
          <w:bCs/>
          <w:lang w:val="en-GB"/>
        </w:rPr>
      </w:pPr>
      <w:r w:rsidRPr="000D2C53">
        <w:rPr>
          <w:rFonts w:ascii="Arial" w:hAnsi="Arial" w:cs="Arial"/>
          <w:b/>
          <w:bCs/>
          <w:lang w:val="en-GB"/>
        </w:rPr>
        <w:t xml:space="preserve">QUESTION NUMBER </w:t>
      </w:r>
      <w:r>
        <w:rPr>
          <w:rFonts w:ascii="Arial" w:hAnsi="Arial" w:cs="Arial"/>
          <w:b/>
          <w:bCs/>
          <w:lang w:val="en-GB"/>
        </w:rPr>
        <w:t>2018</w:t>
      </w:r>
      <w:r w:rsidR="00632FEF">
        <w:rPr>
          <w:rFonts w:ascii="Arial" w:hAnsi="Arial" w:cs="Arial"/>
          <w:b/>
          <w:bCs/>
          <w:lang w:val="en-GB"/>
        </w:rPr>
        <w:t>/2499</w:t>
      </w:r>
    </w:p>
    <w:p w:rsidR="001E6246" w:rsidRDefault="001E6246" w:rsidP="001E6246">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632FEF">
        <w:rPr>
          <w:rFonts w:ascii="Arial" w:hAnsi="Arial" w:cs="Arial"/>
          <w:b/>
          <w:bCs/>
          <w:lang w:val="en-GB"/>
        </w:rPr>
        <w:t>31</w:t>
      </w:r>
      <w:r>
        <w:rPr>
          <w:rFonts w:ascii="Arial" w:hAnsi="Arial" w:cs="Arial"/>
          <w:b/>
          <w:bCs/>
          <w:lang w:val="en-GB"/>
        </w:rPr>
        <w:t xml:space="preserve"> AUGUST 2018</w:t>
      </w:r>
    </w:p>
    <w:p w:rsidR="001E6246" w:rsidRPr="002D4EAE" w:rsidRDefault="001E6246" w:rsidP="002D4EAE">
      <w:pPr>
        <w:tabs>
          <w:tab w:val="left" w:pos="2507"/>
        </w:tabs>
        <w:spacing w:line="360" w:lineRule="auto"/>
        <w:rPr>
          <w:rFonts w:ascii="Arial" w:hAnsi="Arial" w:cs="Arial"/>
          <w:b/>
          <w:bCs/>
          <w:color w:val="000000"/>
          <w:lang w:val="en-GB"/>
        </w:rPr>
      </w:pPr>
      <w:r>
        <w:rPr>
          <w:rFonts w:ascii="Arial" w:hAnsi="Arial" w:cs="Arial"/>
          <w:b/>
          <w:bCs/>
          <w:color w:val="000000"/>
          <w:lang w:val="en-GB"/>
        </w:rPr>
        <w:tab/>
      </w:r>
    </w:p>
    <w:p w:rsidR="001E6246" w:rsidRPr="00676E05" w:rsidRDefault="002D4EAE" w:rsidP="001E6246">
      <w:pPr>
        <w:spacing w:before="100" w:beforeAutospacing="1" w:after="100" w:afterAutospacing="1"/>
        <w:jc w:val="both"/>
        <w:rPr>
          <w:rFonts w:ascii="Arial" w:hAnsi="Arial" w:cs="Arial"/>
          <w:lang w:val="en-ZA"/>
        </w:rPr>
      </w:pPr>
      <w:r>
        <w:rPr>
          <w:rFonts w:ascii="Arial" w:hAnsi="Arial" w:cs="Arial"/>
          <w:b/>
          <w:lang w:val="en-ZA"/>
        </w:rPr>
        <w:t xml:space="preserve">2499. Mr. </w:t>
      </w:r>
      <w:r w:rsidR="001E6246">
        <w:rPr>
          <w:rFonts w:ascii="Arial" w:hAnsi="Arial" w:cs="Arial"/>
          <w:b/>
          <w:lang w:val="en-ZA"/>
        </w:rPr>
        <w:t xml:space="preserve">E M Mthethwa (ANC) </w:t>
      </w:r>
      <w:r w:rsidR="001E6246" w:rsidRPr="00D10F6D">
        <w:rPr>
          <w:rFonts w:ascii="Arial" w:hAnsi="Arial" w:cs="Arial"/>
          <w:b/>
          <w:lang w:val="en-ZA"/>
        </w:rPr>
        <w:t xml:space="preserve">to ask the Minister of Cooperative Governance and Traditional </w:t>
      </w:r>
      <w:r w:rsidR="001E6246" w:rsidRPr="00676E05">
        <w:rPr>
          <w:rFonts w:ascii="Arial" w:hAnsi="Arial" w:cs="Arial"/>
          <w:b/>
          <w:lang w:val="en-ZA"/>
        </w:rPr>
        <w:t>Affairs:</w:t>
      </w:r>
      <w:bookmarkStart w:id="0" w:name="_GoBack"/>
      <w:bookmarkEnd w:id="0"/>
    </w:p>
    <w:p w:rsidR="001E6246" w:rsidRPr="00676E05" w:rsidRDefault="001E6246" w:rsidP="002D4EAE">
      <w:pPr>
        <w:spacing w:line="360" w:lineRule="auto"/>
        <w:jc w:val="both"/>
        <w:rPr>
          <w:rFonts w:ascii="Arial" w:hAnsi="Arial" w:cs="Arial"/>
          <w:bCs/>
          <w:lang w:val="af-ZA"/>
        </w:rPr>
      </w:pPr>
      <w:r w:rsidRPr="00676E05">
        <w:rPr>
          <w:rFonts w:ascii="Arial" w:hAnsi="Arial" w:cs="Arial"/>
          <w:bCs/>
          <w:lang w:val="en-ZA"/>
        </w:rPr>
        <w:t xml:space="preserve">In </w:t>
      </w:r>
      <w:r w:rsidRPr="00676E05">
        <w:rPr>
          <w:rFonts w:ascii="Arial" w:hAnsi="Arial" w:cs="Arial"/>
          <w:bCs/>
          <w:lang w:val="af-ZA"/>
        </w:rPr>
        <w:t>light</w:t>
      </w:r>
      <w:r w:rsidRPr="00676E05">
        <w:rPr>
          <w:rFonts w:ascii="Arial" w:hAnsi="Arial" w:cs="Arial"/>
          <w:bCs/>
          <w:lang w:val="en-ZA"/>
        </w:rPr>
        <w:t xml:space="preserve"> of the fact that the future of the country depends on the investment in its youth, what (a) programmes has his department put in place to promote youth development and empowerment and (b) funding has been set aside for these programmes</w:t>
      </w:r>
      <w:r>
        <w:rPr>
          <w:rFonts w:ascii="Arial" w:hAnsi="Arial" w:cs="Arial"/>
          <w:bCs/>
          <w:lang w:val="af-ZA"/>
        </w:rPr>
        <w:t>?</w:t>
      </w:r>
      <w:r>
        <w:rPr>
          <w:rFonts w:ascii="Arial" w:hAnsi="Arial" w:cs="Arial"/>
          <w:bCs/>
          <w:lang w:val="af-ZA"/>
        </w:rPr>
        <w:tab/>
      </w:r>
      <w:r w:rsidRPr="00676E05">
        <w:rPr>
          <w:rFonts w:ascii="Arial" w:hAnsi="Arial" w:cs="Arial"/>
          <w:bCs/>
          <w:lang w:val="af-ZA"/>
        </w:rPr>
        <w:t>NO2761E</w:t>
      </w:r>
    </w:p>
    <w:p w:rsidR="001E6246" w:rsidRDefault="001E6246" w:rsidP="002D4EAE">
      <w:pPr>
        <w:spacing w:line="360" w:lineRule="auto"/>
        <w:jc w:val="both"/>
        <w:rPr>
          <w:rFonts w:ascii="Arial" w:hAnsi="Arial" w:cs="Arial"/>
          <w:bCs/>
        </w:rPr>
      </w:pPr>
    </w:p>
    <w:p w:rsidR="001E6246" w:rsidRDefault="001E6246" w:rsidP="001E6246">
      <w:pPr>
        <w:jc w:val="both"/>
        <w:rPr>
          <w:rFonts w:ascii="Arial" w:hAnsi="Arial" w:cs="Arial"/>
          <w:bCs/>
        </w:rPr>
      </w:pPr>
    </w:p>
    <w:p w:rsidR="001E6246" w:rsidRDefault="001E6246" w:rsidP="001E6246">
      <w:pPr>
        <w:jc w:val="both"/>
        <w:rPr>
          <w:rFonts w:ascii="Arial" w:hAnsi="Arial" w:cs="Arial"/>
          <w:bCs/>
        </w:rPr>
      </w:pPr>
    </w:p>
    <w:p w:rsidR="001E6246" w:rsidRDefault="001E6246" w:rsidP="001E6246">
      <w:pPr>
        <w:jc w:val="both"/>
        <w:rPr>
          <w:rFonts w:ascii="Arial" w:hAnsi="Arial" w:cs="Arial"/>
          <w:bCs/>
        </w:rPr>
      </w:pPr>
    </w:p>
    <w:p w:rsidR="001E6246" w:rsidRDefault="001E6246" w:rsidP="001E6246">
      <w:pPr>
        <w:jc w:val="both"/>
        <w:rPr>
          <w:rFonts w:ascii="Arial" w:hAnsi="Arial" w:cs="Arial"/>
          <w:bCs/>
        </w:rPr>
      </w:pPr>
    </w:p>
    <w:p w:rsidR="001E6246" w:rsidRDefault="001E6246" w:rsidP="001E6246">
      <w:pPr>
        <w:jc w:val="both"/>
        <w:rPr>
          <w:rFonts w:ascii="Arial" w:hAnsi="Arial" w:cs="Arial"/>
          <w:bCs/>
        </w:rPr>
      </w:pPr>
    </w:p>
    <w:p w:rsidR="001E6246" w:rsidRDefault="001E6246" w:rsidP="001E6246">
      <w:pPr>
        <w:jc w:val="both"/>
        <w:rPr>
          <w:rFonts w:ascii="Arial" w:hAnsi="Arial" w:cs="Arial"/>
          <w:bCs/>
        </w:rPr>
      </w:pPr>
    </w:p>
    <w:p w:rsidR="001E6246" w:rsidRDefault="001E6246" w:rsidP="001E6246">
      <w:pPr>
        <w:jc w:val="both"/>
        <w:rPr>
          <w:rFonts w:ascii="Arial" w:hAnsi="Arial" w:cs="Arial"/>
          <w:bCs/>
        </w:rPr>
      </w:pPr>
    </w:p>
    <w:p w:rsidR="001E6246" w:rsidRDefault="001E6246" w:rsidP="001E6246">
      <w:pPr>
        <w:jc w:val="both"/>
        <w:rPr>
          <w:rFonts w:ascii="Arial" w:hAnsi="Arial" w:cs="Arial"/>
          <w:bCs/>
        </w:rPr>
      </w:pPr>
    </w:p>
    <w:p w:rsidR="001E6246" w:rsidRDefault="001E6246" w:rsidP="001E6246">
      <w:pPr>
        <w:jc w:val="both"/>
        <w:rPr>
          <w:rFonts w:ascii="Arial" w:hAnsi="Arial" w:cs="Arial"/>
          <w:bCs/>
        </w:rPr>
      </w:pPr>
    </w:p>
    <w:p w:rsidR="001E6246" w:rsidRDefault="001E6246" w:rsidP="001E6246">
      <w:pPr>
        <w:jc w:val="both"/>
        <w:rPr>
          <w:rFonts w:ascii="Arial" w:hAnsi="Arial" w:cs="Arial"/>
          <w:bCs/>
        </w:rPr>
      </w:pPr>
    </w:p>
    <w:p w:rsidR="001E6246" w:rsidRDefault="001E6246" w:rsidP="001E6246">
      <w:pPr>
        <w:jc w:val="both"/>
        <w:rPr>
          <w:rFonts w:ascii="Arial" w:hAnsi="Arial" w:cs="Arial"/>
          <w:bCs/>
        </w:rPr>
      </w:pPr>
    </w:p>
    <w:p w:rsidR="001E6246" w:rsidRDefault="001E6246" w:rsidP="001E6246">
      <w:pPr>
        <w:jc w:val="both"/>
        <w:rPr>
          <w:rFonts w:ascii="Arial" w:hAnsi="Arial" w:cs="Arial"/>
          <w:bCs/>
        </w:rPr>
      </w:pPr>
    </w:p>
    <w:p w:rsidR="001E6246" w:rsidRDefault="001E6246" w:rsidP="001E6246">
      <w:pPr>
        <w:jc w:val="both"/>
        <w:rPr>
          <w:rFonts w:ascii="Arial" w:hAnsi="Arial" w:cs="Arial"/>
          <w:bCs/>
        </w:rPr>
      </w:pPr>
    </w:p>
    <w:p w:rsidR="001E6246" w:rsidRDefault="001E6246" w:rsidP="001E6246">
      <w:pPr>
        <w:jc w:val="both"/>
        <w:rPr>
          <w:rFonts w:ascii="Arial" w:hAnsi="Arial" w:cs="Arial"/>
          <w:bCs/>
        </w:rPr>
      </w:pPr>
    </w:p>
    <w:p w:rsidR="001E6246" w:rsidRDefault="001E6246" w:rsidP="001E6246">
      <w:pPr>
        <w:jc w:val="both"/>
        <w:rPr>
          <w:rFonts w:ascii="Arial" w:hAnsi="Arial" w:cs="Arial"/>
          <w:bCs/>
        </w:rPr>
      </w:pPr>
    </w:p>
    <w:p w:rsidR="001E6246" w:rsidRDefault="001E6246" w:rsidP="001E6246">
      <w:pPr>
        <w:jc w:val="both"/>
        <w:rPr>
          <w:rFonts w:ascii="Arial" w:hAnsi="Arial" w:cs="Arial"/>
          <w:bCs/>
        </w:rPr>
      </w:pPr>
    </w:p>
    <w:p w:rsidR="001E6246" w:rsidRDefault="001E6246" w:rsidP="001E6246">
      <w:pPr>
        <w:jc w:val="both"/>
        <w:rPr>
          <w:rFonts w:ascii="Arial" w:hAnsi="Arial" w:cs="Arial"/>
          <w:bCs/>
        </w:rPr>
      </w:pPr>
    </w:p>
    <w:p w:rsidR="001E6246" w:rsidRDefault="001E6246" w:rsidP="001E6246">
      <w:pPr>
        <w:jc w:val="both"/>
        <w:rPr>
          <w:rFonts w:ascii="Arial" w:hAnsi="Arial" w:cs="Arial"/>
          <w:bCs/>
        </w:rPr>
      </w:pPr>
    </w:p>
    <w:p w:rsidR="001E6246" w:rsidRDefault="001E6246" w:rsidP="001E6246">
      <w:pPr>
        <w:jc w:val="both"/>
        <w:rPr>
          <w:rFonts w:ascii="Arial" w:hAnsi="Arial" w:cs="Arial"/>
          <w:bCs/>
        </w:rPr>
      </w:pPr>
    </w:p>
    <w:p w:rsidR="001E6246" w:rsidRDefault="001E6246" w:rsidP="001E6246">
      <w:pPr>
        <w:jc w:val="both"/>
        <w:rPr>
          <w:rFonts w:ascii="Arial" w:hAnsi="Arial" w:cs="Arial"/>
          <w:bCs/>
        </w:rPr>
      </w:pPr>
    </w:p>
    <w:p w:rsidR="001E6246" w:rsidRDefault="001E6246" w:rsidP="001E6246">
      <w:pPr>
        <w:jc w:val="both"/>
        <w:rPr>
          <w:rFonts w:ascii="Arial" w:hAnsi="Arial" w:cs="Arial"/>
          <w:bCs/>
        </w:rPr>
      </w:pPr>
    </w:p>
    <w:p w:rsidR="001E6246" w:rsidRDefault="001E6246" w:rsidP="001E6246">
      <w:pPr>
        <w:jc w:val="both"/>
        <w:rPr>
          <w:rFonts w:ascii="Arial" w:hAnsi="Arial" w:cs="Arial"/>
          <w:bCs/>
        </w:rPr>
      </w:pPr>
    </w:p>
    <w:p w:rsidR="00353084" w:rsidRDefault="00353084" w:rsidP="001E6246">
      <w:pPr>
        <w:jc w:val="both"/>
        <w:rPr>
          <w:rFonts w:ascii="Arial" w:hAnsi="Arial" w:cs="Arial"/>
          <w:bCs/>
        </w:rPr>
      </w:pPr>
    </w:p>
    <w:p w:rsidR="002D4EAE" w:rsidRDefault="002D4EAE" w:rsidP="001E6246">
      <w:pPr>
        <w:jc w:val="both"/>
        <w:rPr>
          <w:rFonts w:ascii="Arial" w:hAnsi="Arial" w:cs="Arial"/>
          <w:bCs/>
        </w:rPr>
      </w:pPr>
    </w:p>
    <w:p w:rsidR="002D4EAE" w:rsidRDefault="002D4EAE" w:rsidP="001E6246">
      <w:pPr>
        <w:jc w:val="both"/>
        <w:rPr>
          <w:rFonts w:ascii="Arial" w:hAnsi="Arial" w:cs="Arial"/>
          <w:bCs/>
        </w:rPr>
      </w:pPr>
    </w:p>
    <w:p w:rsidR="00353084" w:rsidRDefault="00353084" w:rsidP="001E6246">
      <w:pPr>
        <w:jc w:val="both"/>
        <w:rPr>
          <w:rFonts w:ascii="Arial" w:hAnsi="Arial" w:cs="Arial"/>
          <w:bCs/>
        </w:rPr>
      </w:pPr>
    </w:p>
    <w:p w:rsidR="001E6246" w:rsidRDefault="001E6246" w:rsidP="001E6246">
      <w:pPr>
        <w:jc w:val="both"/>
        <w:rPr>
          <w:rFonts w:ascii="Arial" w:hAnsi="Arial" w:cs="Arial"/>
          <w:b/>
          <w:bCs/>
        </w:rPr>
      </w:pPr>
      <w:r w:rsidRPr="00E0552A">
        <w:rPr>
          <w:rFonts w:ascii="Arial" w:hAnsi="Arial" w:cs="Arial"/>
          <w:b/>
          <w:bCs/>
        </w:rPr>
        <w:t>Reply:</w:t>
      </w:r>
    </w:p>
    <w:p w:rsidR="003E54C2" w:rsidRDefault="003E54C2" w:rsidP="001E6246">
      <w:pPr>
        <w:jc w:val="both"/>
        <w:rPr>
          <w:rFonts w:ascii="Arial" w:hAnsi="Arial" w:cs="Arial"/>
          <w:b/>
          <w:bCs/>
        </w:rPr>
      </w:pPr>
    </w:p>
    <w:p w:rsidR="00BC3877" w:rsidRDefault="001E6246" w:rsidP="00BC3877">
      <w:pPr>
        <w:spacing w:line="360" w:lineRule="auto"/>
        <w:ind w:left="567" w:hanging="567"/>
        <w:jc w:val="both"/>
        <w:rPr>
          <w:rFonts w:ascii="Arial" w:hAnsi="Arial" w:cs="Arial"/>
          <w:b/>
        </w:rPr>
      </w:pPr>
      <w:r w:rsidRPr="001E6246">
        <w:rPr>
          <w:rFonts w:ascii="Arial" w:hAnsi="Arial" w:cs="Arial"/>
        </w:rPr>
        <w:t>(a)</w:t>
      </w:r>
      <w:r>
        <w:rPr>
          <w:rFonts w:ascii="Arial" w:hAnsi="Arial" w:cs="Arial"/>
          <w:b/>
        </w:rPr>
        <w:t xml:space="preserve">   </w:t>
      </w:r>
      <w:r w:rsidR="00BC3877" w:rsidRPr="00BC3877">
        <w:rPr>
          <w:rFonts w:ascii="Arial" w:hAnsi="Arial" w:cs="Arial"/>
        </w:rPr>
        <w:t xml:space="preserve">Below is the list of programmes that the department has put in place </w:t>
      </w:r>
      <w:r w:rsidR="00BC3877">
        <w:rPr>
          <w:rFonts w:ascii="Arial" w:hAnsi="Arial" w:cs="Arial"/>
          <w:bCs/>
          <w:lang w:val="en-ZA"/>
        </w:rPr>
        <w:t xml:space="preserve">to promote youth </w:t>
      </w:r>
      <w:r w:rsidR="00BC3877" w:rsidRPr="00676E05">
        <w:rPr>
          <w:rFonts w:ascii="Arial" w:hAnsi="Arial" w:cs="Arial"/>
          <w:bCs/>
          <w:lang w:val="en-ZA"/>
        </w:rPr>
        <w:t>development and empowerment</w:t>
      </w:r>
      <w:r w:rsidR="00BC3877">
        <w:rPr>
          <w:rFonts w:ascii="Arial" w:hAnsi="Arial" w:cs="Arial"/>
          <w:b/>
        </w:rPr>
        <w:t xml:space="preserve"> </w:t>
      </w:r>
    </w:p>
    <w:p w:rsidR="00BC3877" w:rsidRDefault="00BC3877" w:rsidP="001E6246">
      <w:pPr>
        <w:spacing w:line="360" w:lineRule="auto"/>
        <w:jc w:val="both"/>
        <w:rPr>
          <w:rFonts w:ascii="Arial" w:hAnsi="Arial" w:cs="Arial"/>
          <w:b/>
        </w:rPr>
      </w:pPr>
    </w:p>
    <w:p w:rsidR="001E6246" w:rsidRPr="00BC3877" w:rsidRDefault="001E6246" w:rsidP="00BC3877">
      <w:pPr>
        <w:spacing w:line="360" w:lineRule="auto"/>
        <w:ind w:firstLine="360"/>
        <w:jc w:val="both"/>
        <w:rPr>
          <w:rFonts w:ascii="Arial" w:hAnsi="Arial" w:cs="Arial"/>
          <w:b/>
          <w:u w:val="single"/>
        </w:rPr>
      </w:pPr>
      <w:r w:rsidRPr="00BC3877">
        <w:rPr>
          <w:rFonts w:ascii="Arial" w:hAnsi="Arial" w:cs="Arial"/>
          <w:b/>
          <w:u w:val="single"/>
        </w:rPr>
        <w:t>MISA’s Capacity Building Programme</w:t>
      </w:r>
    </w:p>
    <w:p w:rsidR="001E6246" w:rsidRPr="00834857" w:rsidRDefault="001E6246" w:rsidP="001E6246">
      <w:pPr>
        <w:spacing w:line="360" w:lineRule="auto"/>
        <w:jc w:val="both"/>
        <w:rPr>
          <w:rFonts w:ascii="Arial" w:hAnsi="Arial" w:cs="Arial"/>
        </w:rPr>
      </w:pPr>
    </w:p>
    <w:p w:rsidR="001E6246" w:rsidRPr="001E6246" w:rsidRDefault="001E6246" w:rsidP="001E6246">
      <w:pPr>
        <w:pStyle w:val="ListParagraph"/>
        <w:numPr>
          <w:ilvl w:val="0"/>
          <w:numId w:val="2"/>
        </w:numPr>
        <w:spacing w:line="360" w:lineRule="auto"/>
        <w:jc w:val="both"/>
        <w:rPr>
          <w:rFonts w:ascii="Arial" w:hAnsi="Arial" w:cs="Arial"/>
        </w:rPr>
      </w:pPr>
      <w:r w:rsidRPr="001E6246">
        <w:rPr>
          <w:rFonts w:ascii="Arial" w:hAnsi="Arial" w:cs="Arial"/>
        </w:rPr>
        <w:t>The Municipal Infrastructure Support Agent (MISA</w:t>
      </w:r>
      <w:r w:rsidR="00845ADE">
        <w:rPr>
          <w:rFonts w:ascii="Arial" w:hAnsi="Arial" w:cs="Arial"/>
        </w:rPr>
        <w:t xml:space="preserve">) </w:t>
      </w:r>
      <w:r w:rsidRPr="001E6246">
        <w:rPr>
          <w:rFonts w:ascii="Arial" w:hAnsi="Arial" w:cs="Arial"/>
        </w:rPr>
        <w:t xml:space="preserve">has a </w:t>
      </w:r>
      <w:r w:rsidR="00845ADE" w:rsidRPr="001E6246">
        <w:rPr>
          <w:rFonts w:ascii="Arial" w:hAnsi="Arial" w:cs="Arial"/>
        </w:rPr>
        <w:t>capacity-building</w:t>
      </w:r>
      <w:r w:rsidR="002C3937">
        <w:rPr>
          <w:rFonts w:ascii="Arial" w:hAnsi="Arial" w:cs="Arial"/>
        </w:rPr>
        <w:t xml:space="preserve"> programme that </w:t>
      </w:r>
      <w:r w:rsidRPr="001E6246">
        <w:rPr>
          <w:rFonts w:ascii="Arial" w:hAnsi="Arial" w:cs="Arial"/>
        </w:rPr>
        <w:t>provide</w:t>
      </w:r>
      <w:r w:rsidR="002C3937">
        <w:rPr>
          <w:rFonts w:ascii="Arial" w:hAnsi="Arial" w:cs="Arial"/>
        </w:rPr>
        <w:t>s</w:t>
      </w:r>
      <w:r w:rsidRPr="001E6246">
        <w:rPr>
          <w:rFonts w:ascii="Arial" w:hAnsi="Arial" w:cs="Arial"/>
        </w:rPr>
        <w:t xml:space="preserve"> opportunities for young people who qualified from TVETs, Technical Colleges and Universities with a civil, electrical, town planning or other related studies, required for infrastructure development and maintenance in municipalities.</w:t>
      </w:r>
    </w:p>
    <w:p w:rsidR="001E6246" w:rsidRPr="00834857" w:rsidRDefault="001E6246" w:rsidP="001E6246">
      <w:pPr>
        <w:spacing w:line="360" w:lineRule="auto"/>
        <w:jc w:val="both"/>
        <w:rPr>
          <w:rFonts w:ascii="Arial" w:hAnsi="Arial" w:cs="Arial"/>
        </w:rPr>
      </w:pPr>
    </w:p>
    <w:p w:rsidR="001E6246" w:rsidRDefault="001E6246" w:rsidP="001E6246">
      <w:pPr>
        <w:pStyle w:val="ListParagraph"/>
        <w:numPr>
          <w:ilvl w:val="0"/>
          <w:numId w:val="2"/>
        </w:numPr>
        <w:spacing w:line="360" w:lineRule="auto"/>
        <w:jc w:val="both"/>
        <w:rPr>
          <w:rFonts w:ascii="Arial" w:hAnsi="Arial" w:cs="Arial"/>
        </w:rPr>
      </w:pPr>
      <w:r w:rsidRPr="001E6246">
        <w:rPr>
          <w:rFonts w:ascii="Arial" w:hAnsi="Arial" w:cs="Arial"/>
        </w:rPr>
        <w:t xml:space="preserve">Since 2012, MISA’s Programme coverage has been of a national magnitude. The biggest component of this Programme has always been the artisan development (Apprenticeship) sub-programme for </w:t>
      </w:r>
      <w:r w:rsidR="00845ADE">
        <w:rPr>
          <w:rFonts w:ascii="Arial" w:hAnsi="Arial" w:cs="Arial"/>
        </w:rPr>
        <w:t xml:space="preserve">the </w:t>
      </w:r>
      <w:r w:rsidRPr="001E6246">
        <w:rPr>
          <w:rFonts w:ascii="Arial" w:hAnsi="Arial" w:cs="Arial"/>
        </w:rPr>
        <w:t xml:space="preserve">purposes of building capacity to operate and maintain existing infrastructure. Between 2014/15 and 2015/16, this sub-programme registered over 400 apprentices. Two hundred and fifty-nine participants qualified as artisans between 2013/14 and 2014/15. The intake for 2017/18 and 2018/19 financial years stood at 303 and 230, respectively. In this regard, work opportunities have been offered by MISA to 100 young people in </w:t>
      </w:r>
      <w:r w:rsidR="00845ADE" w:rsidRPr="001E6246">
        <w:rPr>
          <w:rFonts w:ascii="Arial" w:hAnsi="Arial" w:cs="Arial"/>
        </w:rPr>
        <w:t>eight</w:t>
      </w:r>
      <w:r w:rsidR="00845ADE">
        <w:rPr>
          <w:rFonts w:ascii="Arial" w:hAnsi="Arial" w:cs="Arial"/>
        </w:rPr>
        <w:t xml:space="preserve"> (08)</w:t>
      </w:r>
      <w:r w:rsidRPr="001E6246">
        <w:rPr>
          <w:rFonts w:ascii="Arial" w:hAnsi="Arial" w:cs="Arial"/>
        </w:rPr>
        <w:t xml:space="preserve"> targeted municipalities across the Northern Cape, Free State, Mpumalanga and Limpopo Provinces as Artisans and Water Process Controllers.</w:t>
      </w:r>
    </w:p>
    <w:p w:rsidR="00845ADE" w:rsidRPr="00845ADE" w:rsidRDefault="00845ADE" w:rsidP="00845ADE">
      <w:pPr>
        <w:spacing w:line="360" w:lineRule="auto"/>
        <w:jc w:val="both"/>
        <w:rPr>
          <w:rFonts w:ascii="Arial" w:hAnsi="Arial" w:cs="Arial"/>
        </w:rPr>
      </w:pPr>
    </w:p>
    <w:p w:rsidR="001E6246" w:rsidRPr="001E6246" w:rsidRDefault="001E6246" w:rsidP="001E6246">
      <w:pPr>
        <w:pStyle w:val="ListParagraph"/>
        <w:numPr>
          <w:ilvl w:val="0"/>
          <w:numId w:val="2"/>
        </w:numPr>
        <w:spacing w:line="360" w:lineRule="auto"/>
        <w:jc w:val="both"/>
        <w:rPr>
          <w:rFonts w:ascii="Arial" w:hAnsi="Arial" w:cs="Arial"/>
        </w:rPr>
      </w:pPr>
      <w:r w:rsidRPr="001E6246">
        <w:rPr>
          <w:rFonts w:ascii="Arial" w:hAnsi="Arial" w:cs="Arial"/>
        </w:rPr>
        <w:t>Experiential Learners refer</w:t>
      </w:r>
      <w:r w:rsidR="00845ADE">
        <w:rPr>
          <w:rFonts w:ascii="Arial" w:hAnsi="Arial" w:cs="Arial"/>
        </w:rPr>
        <w:t>red</w:t>
      </w:r>
      <w:r w:rsidRPr="001E6246">
        <w:rPr>
          <w:rFonts w:ascii="Arial" w:hAnsi="Arial" w:cs="Arial"/>
        </w:rPr>
        <w:t xml:space="preserve"> to the group of candidates pursuing studies to be technicians, yet requiring practice and workplace experience to continue with their academic training. Forty-two of these groups</w:t>
      </w:r>
      <w:r w:rsidR="002C3937">
        <w:rPr>
          <w:rFonts w:ascii="Arial" w:hAnsi="Arial" w:cs="Arial"/>
        </w:rPr>
        <w:t xml:space="preserve"> </w:t>
      </w:r>
      <w:r w:rsidRPr="001E6246">
        <w:rPr>
          <w:rFonts w:ascii="Arial" w:hAnsi="Arial" w:cs="Arial"/>
        </w:rPr>
        <w:t>have been registered from March 2014 to Marc</w:t>
      </w:r>
      <w:r w:rsidR="002C3937">
        <w:rPr>
          <w:rFonts w:ascii="Arial" w:hAnsi="Arial" w:cs="Arial"/>
        </w:rPr>
        <w:t>h 2016 for experiential learning</w:t>
      </w:r>
      <w:r w:rsidRPr="001E6246">
        <w:rPr>
          <w:rFonts w:ascii="Arial" w:hAnsi="Arial" w:cs="Arial"/>
        </w:rPr>
        <w:t xml:space="preserve"> at qualifying municipalities. They have since completed their required experiential training and have gone back to complete their academic studies. The intake for 2017/18 and 2018/19 experiential learners stands at 90 and 100, respectively.</w:t>
      </w:r>
    </w:p>
    <w:p w:rsidR="001E6246" w:rsidRPr="00834857" w:rsidRDefault="001E6246" w:rsidP="001E6246">
      <w:pPr>
        <w:spacing w:line="360" w:lineRule="auto"/>
        <w:jc w:val="both"/>
        <w:rPr>
          <w:rFonts w:ascii="Arial" w:hAnsi="Arial" w:cs="Arial"/>
        </w:rPr>
      </w:pPr>
    </w:p>
    <w:p w:rsidR="001E6246" w:rsidRPr="001E6246" w:rsidRDefault="001E6246" w:rsidP="001E6246">
      <w:pPr>
        <w:pStyle w:val="ListParagraph"/>
        <w:numPr>
          <w:ilvl w:val="0"/>
          <w:numId w:val="2"/>
        </w:numPr>
        <w:spacing w:line="360" w:lineRule="auto"/>
        <w:jc w:val="both"/>
        <w:rPr>
          <w:rFonts w:ascii="Arial" w:hAnsi="Arial" w:cs="Arial"/>
        </w:rPr>
      </w:pPr>
      <w:r w:rsidRPr="001E6246">
        <w:rPr>
          <w:rFonts w:ascii="Arial" w:hAnsi="Arial" w:cs="Arial"/>
        </w:rPr>
        <w:lastRenderedPageBreak/>
        <w:t xml:space="preserve">In as far </w:t>
      </w:r>
      <w:r w:rsidR="002C3937">
        <w:rPr>
          <w:rFonts w:ascii="Arial" w:hAnsi="Arial" w:cs="Arial"/>
        </w:rPr>
        <w:t xml:space="preserve">as </w:t>
      </w:r>
      <w:r w:rsidRPr="001E6246">
        <w:rPr>
          <w:rFonts w:ascii="Arial" w:hAnsi="Arial" w:cs="Arial"/>
        </w:rPr>
        <w:t>the Bursary Scheme is concerned, one hundred and eighty-six candidates were registered from 2014, whilst in 2016, one hundred and sixty-four (164) young people have been awarded bursaries for technical infrastructure-related studies. For the current financial year 2018/19, MISA plans to award bursaries to 150 disadvantaged students studying towards town planning, civil and electrical engineering qualifications.</w:t>
      </w:r>
    </w:p>
    <w:p w:rsidR="001E6246" w:rsidRPr="00834857" w:rsidRDefault="001E6246" w:rsidP="001E6246">
      <w:pPr>
        <w:spacing w:line="360" w:lineRule="auto"/>
        <w:jc w:val="both"/>
        <w:rPr>
          <w:rFonts w:ascii="Arial" w:hAnsi="Arial" w:cs="Arial"/>
        </w:rPr>
      </w:pPr>
    </w:p>
    <w:p w:rsidR="001E6246" w:rsidRPr="00834857" w:rsidRDefault="001E6246" w:rsidP="001E6246">
      <w:pPr>
        <w:spacing w:line="360" w:lineRule="auto"/>
        <w:jc w:val="both"/>
        <w:rPr>
          <w:rFonts w:ascii="Arial" w:hAnsi="Arial" w:cs="Arial"/>
          <w:lang w:val="en-GB"/>
        </w:rPr>
      </w:pPr>
      <w:r w:rsidRPr="00834857">
        <w:rPr>
          <w:rFonts w:ascii="Arial" w:hAnsi="Arial" w:cs="Arial"/>
          <w:lang w:val="en-GB"/>
        </w:rPr>
        <w:t>The table below provides a breakdown of the various sub-programme in-takes:</w:t>
      </w:r>
    </w:p>
    <w:p w:rsidR="001E6246" w:rsidRPr="00834857" w:rsidRDefault="001E6246" w:rsidP="001E6246">
      <w:pPr>
        <w:spacing w:line="360" w:lineRule="auto"/>
        <w:jc w:val="both"/>
        <w:rPr>
          <w:rFonts w:ascii="Arial" w:hAnsi="Arial" w:cs="Arial"/>
          <w:lang w:val="en-GB"/>
        </w:rPr>
      </w:pPr>
    </w:p>
    <w:tbl>
      <w:tblPr>
        <w:tblStyle w:val="TableGrid1"/>
        <w:tblW w:w="7138" w:type="dxa"/>
        <w:tblInd w:w="654" w:type="dxa"/>
        <w:tblLook w:val="04A0" w:firstRow="1" w:lastRow="0" w:firstColumn="1" w:lastColumn="0" w:noHBand="0" w:noVBand="1"/>
      </w:tblPr>
      <w:tblGrid>
        <w:gridCol w:w="612"/>
        <w:gridCol w:w="4009"/>
        <w:gridCol w:w="2517"/>
      </w:tblGrid>
      <w:tr w:rsidR="001E6246" w:rsidRPr="00834857" w:rsidTr="00056D6F">
        <w:trPr>
          <w:trHeight w:val="316"/>
        </w:trPr>
        <w:tc>
          <w:tcPr>
            <w:tcW w:w="7138" w:type="dxa"/>
            <w:gridSpan w:val="3"/>
            <w:shd w:val="clear" w:color="auto" w:fill="ED7D31"/>
          </w:tcPr>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 xml:space="preserve">                                                MISA PROGRAMMES</w:t>
            </w:r>
          </w:p>
        </w:tc>
      </w:tr>
      <w:tr w:rsidR="001E6246" w:rsidRPr="00834857" w:rsidTr="00056D6F">
        <w:tc>
          <w:tcPr>
            <w:tcW w:w="4621" w:type="dxa"/>
            <w:gridSpan w:val="2"/>
          </w:tcPr>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2017/18 FY</w:t>
            </w:r>
          </w:p>
        </w:tc>
        <w:tc>
          <w:tcPr>
            <w:tcW w:w="2517" w:type="dxa"/>
          </w:tcPr>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2018/19 FY</w:t>
            </w:r>
          </w:p>
        </w:tc>
      </w:tr>
      <w:tr w:rsidR="001E6246" w:rsidRPr="00834857" w:rsidTr="00056D6F">
        <w:trPr>
          <w:trHeight w:val="446"/>
        </w:trPr>
        <w:tc>
          <w:tcPr>
            <w:tcW w:w="612" w:type="dxa"/>
          </w:tcPr>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1.</w:t>
            </w:r>
          </w:p>
        </w:tc>
        <w:tc>
          <w:tcPr>
            <w:tcW w:w="6526" w:type="dxa"/>
            <w:gridSpan w:val="2"/>
          </w:tcPr>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Experiential Learners</w:t>
            </w:r>
          </w:p>
        </w:tc>
      </w:tr>
      <w:tr w:rsidR="001E6246" w:rsidRPr="00834857" w:rsidTr="00056D6F">
        <w:tc>
          <w:tcPr>
            <w:tcW w:w="612" w:type="dxa"/>
          </w:tcPr>
          <w:p w:rsidR="001E6246" w:rsidRPr="00834857" w:rsidRDefault="001E6246" w:rsidP="005B0456">
            <w:pPr>
              <w:spacing w:line="360" w:lineRule="auto"/>
              <w:jc w:val="both"/>
              <w:rPr>
                <w:rFonts w:ascii="Arial" w:hAnsi="Arial" w:cs="Arial"/>
                <w:lang w:val="en-GB"/>
              </w:rPr>
            </w:pPr>
          </w:p>
        </w:tc>
        <w:tc>
          <w:tcPr>
            <w:tcW w:w="4009" w:type="dxa"/>
          </w:tcPr>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90</w:t>
            </w:r>
          </w:p>
        </w:tc>
        <w:tc>
          <w:tcPr>
            <w:tcW w:w="2517" w:type="dxa"/>
          </w:tcPr>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100</w:t>
            </w:r>
          </w:p>
        </w:tc>
      </w:tr>
      <w:tr w:rsidR="001E6246" w:rsidRPr="00834857" w:rsidTr="00056D6F">
        <w:tc>
          <w:tcPr>
            <w:tcW w:w="612" w:type="dxa"/>
          </w:tcPr>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2.</w:t>
            </w:r>
          </w:p>
        </w:tc>
        <w:tc>
          <w:tcPr>
            <w:tcW w:w="6526" w:type="dxa"/>
            <w:gridSpan w:val="2"/>
          </w:tcPr>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Young Graduates</w:t>
            </w:r>
          </w:p>
        </w:tc>
      </w:tr>
      <w:tr w:rsidR="001E6246" w:rsidRPr="00834857" w:rsidTr="00056D6F">
        <w:tc>
          <w:tcPr>
            <w:tcW w:w="612" w:type="dxa"/>
          </w:tcPr>
          <w:p w:rsidR="001E6246" w:rsidRPr="00834857" w:rsidRDefault="001E6246" w:rsidP="005B0456">
            <w:pPr>
              <w:spacing w:line="360" w:lineRule="auto"/>
              <w:jc w:val="both"/>
              <w:rPr>
                <w:rFonts w:ascii="Arial" w:hAnsi="Arial" w:cs="Arial"/>
                <w:lang w:val="en-GB"/>
              </w:rPr>
            </w:pPr>
          </w:p>
        </w:tc>
        <w:tc>
          <w:tcPr>
            <w:tcW w:w="4009" w:type="dxa"/>
          </w:tcPr>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70</w:t>
            </w:r>
          </w:p>
        </w:tc>
        <w:tc>
          <w:tcPr>
            <w:tcW w:w="2517" w:type="dxa"/>
          </w:tcPr>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150</w:t>
            </w:r>
          </w:p>
        </w:tc>
      </w:tr>
      <w:tr w:rsidR="001E6246" w:rsidRPr="00834857" w:rsidTr="00056D6F">
        <w:tc>
          <w:tcPr>
            <w:tcW w:w="612" w:type="dxa"/>
          </w:tcPr>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3.</w:t>
            </w:r>
          </w:p>
        </w:tc>
        <w:tc>
          <w:tcPr>
            <w:tcW w:w="6526" w:type="dxa"/>
            <w:gridSpan w:val="2"/>
          </w:tcPr>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Apprentices</w:t>
            </w:r>
          </w:p>
        </w:tc>
      </w:tr>
      <w:tr w:rsidR="001E6246" w:rsidRPr="00834857" w:rsidTr="00056D6F">
        <w:tc>
          <w:tcPr>
            <w:tcW w:w="612" w:type="dxa"/>
          </w:tcPr>
          <w:p w:rsidR="001E6246" w:rsidRPr="00834857" w:rsidRDefault="001E6246" w:rsidP="005B0456">
            <w:pPr>
              <w:spacing w:line="360" w:lineRule="auto"/>
              <w:jc w:val="both"/>
              <w:rPr>
                <w:rFonts w:ascii="Arial" w:hAnsi="Arial" w:cs="Arial"/>
                <w:lang w:val="en-GB"/>
              </w:rPr>
            </w:pPr>
          </w:p>
        </w:tc>
        <w:tc>
          <w:tcPr>
            <w:tcW w:w="4009" w:type="dxa"/>
          </w:tcPr>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303</w:t>
            </w:r>
          </w:p>
        </w:tc>
        <w:tc>
          <w:tcPr>
            <w:tcW w:w="2517" w:type="dxa"/>
          </w:tcPr>
          <w:p w:rsidR="001E6246" w:rsidRPr="00834857" w:rsidRDefault="00990251" w:rsidP="00990251">
            <w:pPr>
              <w:spacing w:line="360" w:lineRule="auto"/>
              <w:jc w:val="both"/>
              <w:rPr>
                <w:rFonts w:ascii="Arial" w:hAnsi="Arial" w:cs="Arial"/>
                <w:lang w:val="en-GB"/>
              </w:rPr>
            </w:pPr>
            <w:r>
              <w:rPr>
                <w:rFonts w:ascii="Arial" w:hAnsi="Arial" w:cs="Arial"/>
                <w:lang w:val="en-GB"/>
              </w:rPr>
              <w:t>258</w:t>
            </w:r>
          </w:p>
        </w:tc>
      </w:tr>
      <w:tr w:rsidR="001E6246" w:rsidRPr="00834857" w:rsidTr="00056D6F">
        <w:tc>
          <w:tcPr>
            <w:tcW w:w="612" w:type="dxa"/>
          </w:tcPr>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4.</w:t>
            </w:r>
          </w:p>
        </w:tc>
        <w:tc>
          <w:tcPr>
            <w:tcW w:w="6526" w:type="dxa"/>
            <w:gridSpan w:val="2"/>
          </w:tcPr>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Artisan Placement Programme</w:t>
            </w:r>
          </w:p>
        </w:tc>
      </w:tr>
      <w:tr w:rsidR="001E6246" w:rsidRPr="00834857" w:rsidTr="00056D6F">
        <w:tc>
          <w:tcPr>
            <w:tcW w:w="612" w:type="dxa"/>
          </w:tcPr>
          <w:p w:rsidR="001E6246" w:rsidRPr="00834857" w:rsidRDefault="001E6246" w:rsidP="005B0456">
            <w:pPr>
              <w:spacing w:line="360" w:lineRule="auto"/>
              <w:jc w:val="both"/>
              <w:rPr>
                <w:rFonts w:ascii="Arial" w:hAnsi="Arial" w:cs="Arial"/>
                <w:lang w:val="en-GB"/>
              </w:rPr>
            </w:pPr>
          </w:p>
        </w:tc>
        <w:tc>
          <w:tcPr>
            <w:tcW w:w="4009" w:type="dxa"/>
          </w:tcPr>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100</w:t>
            </w:r>
          </w:p>
        </w:tc>
        <w:tc>
          <w:tcPr>
            <w:tcW w:w="2517" w:type="dxa"/>
          </w:tcPr>
          <w:p w:rsidR="001E6246" w:rsidRPr="00834857" w:rsidRDefault="001E6246" w:rsidP="00990251">
            <w:pPr>
              <w:spacing w:line="360" w:lineRule="auto"/>
              <w:jc w:val="both"/>
              <w:rPr>
                <w:rFonts w:ascii="Arial" w:hAnsi="Arial" w:cs="Arial"/>
                <w:lang w:val="en-GB"/>
              </w:rPr>
            </w:pPr>
            <w:r w:rsidRPr="00834857">
              <w:rPr>
                <w:rFonts w:ascii="Arial" w:hAnsi="Arial" w:cs="Arial"/>
                <w:lang w:val="en-GB"/>
              </w:rPr>
              <w:t>10</w:t>
            </w:r>
            <w:r w:rsidR="00990251">
              <w:rPr>
                <w:rFonts w:ascii="Arial" w:hAnsi="Arial" w:cs="Arial"/>
                <w:lang w:val="en-GB"/>
              </w:rPr>
              <w:t>1</w:t>
            </w:r>
          </w:p>
        </w:tc>
      </w:tr>
    </w:tbl>
    <w:p w:rsidR="001E6246" w:rsidRPr="00834857" w:rsidRDefault="001E6246" w:rsidP="00056D6F">
      <w:pPr>
        <w:spacing w:line="360" w:lineRule="auto"/>
        <w:ind w:firstLine="720"/>
        <w:jc w:val="both"/>
        <w:rPr>
          <w:rFonts w:ascii="Arial" w:hAnsi="Arial" w:cs="Arial"/>
          <w:lang w:val="en-GB"/>
        </w:rPr>
      </w:pPr>
      <w:r w:rsidRPr="00834857">
        <w:rPr>
          <w:rFonts w:ascii="Arial" w:hAnsi="Arial" w:cs="Arial"/>
          <w:lang w:val="en-GB"/>
        </w:rPr>
        <w:t>Table 1: MISA’s Capacity Building Programme 2017/18 and 2018/19</w:t>
      </w:r>
    </w:p>
    <w:p w:rsidR="001E6246" w:rsidRPr="00834857" w:rsidRDefault="001E6246" w:rsidP="001E6246">
      <w:pPr>
        <w:spacing w:line="360" w:lineRule="auto"/>
        <w:jc w:val="both"/>
        <w:rPr>
          <w:rFonts w:ascii="Arial" w:hAnsi="Arial" w:cs="Arial"/>
          <w:b/>
          <w:bCs/>
          <w:color w:val="000000"/>
          <w:lang w:val="en-GB"/>
        </w:rPr>
      </w:pPr>
    </w:p>
    <w:p w:rsidR="001E6246" w:rsidRPr="00BC3877" w:rsidRDefault="001E6246" w:rsidP="001E6246">
      <w:pPr>
        <w:spacing w:line="360" w:lineRule="auto"/>
        <w:jc w:val="both"/>
        <w:rPr>
          <w:rFonts w:ascii="Arial" w:hAnsi="Arial" w:cs="Arial"/>
          <w:b/>
          <w:u w:val="single"/>
        </w:rPr>
      </w:pPr>
      <w:r w:rsidRPr="00BC3877">
        <w:rPr>
          <w:rFonts w:ascii="Arial" w:hAnsi="Arial" w:cs="Arial"/>
          <w:b/>
          <w:u w:val="single"/>
        </w:rPr>
        <w:t>The Disaster Management Bursary Programme</w:t>
      </w:r>
    </w:p>
    <w:p w:rsidR="001E6246" w:rsidRPr="00834857" w:rsidRDefault="001E6246" w:rsidP="001E6246">
      <w:pPr>
        <w:spacing w:line="360" w:lineRule="auto"/>
        <w:jc w:val="both"/>
        <w:rPr>
          <w:rFonts w:ascii="Arial" w:hAnsi="Arial" w:cs="Arial"/>
          <w:b/>
        </w:rPr>
      </w:pPr>
    </w:p>
    <w:p w:rsidR="001E6246" w:rsidRPr="00BC3877" w:rsidRDefault="001E6246" w:rsidP="00BC3877">
      <w:pPr>
        <w:pStyle w:val="ListParagraph"/>
        <w:numPr>
          <w:ilvl w:val="0"/>
          <w:numId w:val="5"/>
        </w:numPr>
        <w:spacing w:line="360" w:lineRule="auto"/>
        <w:jc w:val="both"/>
        <w:rPr>
          <w:rFonts w:ascii="Arial" w:hAnsi="Arial" w:cs="Arial"/>
          <w:lang w:val="en-ZA"/>
        </w:rPr>
      </w:pPr>
      <w:r w:rsidRPr="00BC3877">
        <w:rPr>
          <w:rFonts w:ascii="Arial" w:hAnsi="Arial" w:cs="Arial"/>
        </w:rPr>
        <w:t>The Department of Cooperative Governance (DCoG) i</w:t>
      </w:r>
      <w:r w:rsidR="00793E2D" w:rsidRPr="00BC3877">
        <w:rPr>
          <w:rFonts w:ascii="Arial" w:hAnsi="Arial" w:cs="Arial"/>
        </w:rPr>
        <w:t>ntroduced a Disaster Management B</w:t>
      </w:r>
      <w:r w:rsidRPr="00BC3877">
        <w:rPr>
          <w:rFonts w:ascii="Arial" w:hAnsi="Arial" w:cs="Arial"/>
        </w:rPr>
        <w:t xml:space="preserve">ursary </w:t>
      </w:r>
      <w:r w:rsidR="00793E2D" w:rsidRPr="00BC3877">
        <w:rPr>
          <w:rFonts w:ascii="Arial" w:hAnsi="Arial" w:cs="Arial"/>
        </w:rPr>
        <w:t>P</w:t>
      </w:r>
      <w:r w:rsidRPr="00BC3877">
        <w:rPr>
          <w:rFonts w:ascii="Arial" w:hAnsi="Arial" w:cs="Arial"/>
        </w:rPr>
        <w:t>rogramme under the National Disaster Management Centre (NDMC). The overall objective of the bursary programme is to contribute towards building capacity and skills enhancement in disaster risk management, through advanced education, training, public awareness and research services.</w:t>
      </w:r>
    </w:p>
    <w:p w:rsidR="001E6246" w:rsidRPr="00834857" w:rsidRDefault="001E6246" w:rsidP="001E6246">
      <w:pPr>
        <w:spacing w:line="360" w:lineRule="auto"/>
        <w:jc w:val="both"/>
        <w:rPr>
          <w:rFonts w:ascii="Arial" w:hAnsi="Arial" w:cs="Arial"/>
        </w:rPr>
      </w:pPr>
    </w:p>
    <w:p w:rsidR="001E6246" w:rsidRPr="00BC3877" w:rsidRDefault="001E6246" w:rsidP="00BC3877">
      <w:pPr>
        <w:pStyle w:val="ListParagraph"/>
        <w:numPr>
          <w:ilvl w:val="0"/>
          <w:numId w:val="5"/>
        </w:numPr>
        <w:spacing w:line="360" w:lineRule="auto"/>
        <w:jc w:val="both"/>
        <w:rPr>
          <w:rFonts w:ascii="Arial" w:hAnsi="Arial" w:cs="Arial"/>
        </w:rPr>
      </w:pPr>
      <w:r w:rsidRPr="00BC3877">
        <w:rPr>
          <w:rFonts w:ascii="Arial" w:hAnsi="Arial" w:cs="Arial"/>
        </w:rPr>
        <w:t>In the 2017 academic year, the NDMC successfully awarded 39 bursaries to qualifying students. Out of the 39 students, 33 completed their studies in</w:t>
      </w:r>
      <w:r w:rsidR="00793E2D" w:rsidRPr="00BC3877">
        <w:rPr>
          <w:rFonts w:ascii="Arial" w:hAnsi="Arial" w:cs="Arial"/>
        </w:rPr>
        <w:t xml:space="preserve"> the</w:t>
      </w:r>
      <w:r w:rsidRPr="00BC3877">
        <w:rPr>
          <w:rFonts w:ascii="Arial" w:hAnsi="Arial" w:cs="Arial"/>
        </w:rPr>
        <w:t xml:space="preserve"> 2017 academic year and 5 are still continuing with their studies in the 2018 academic year. In</w:t>
      </w:r>
      <w:r w:rsidR="00793E2D" w:rsidRPr="00BC3877">
        <w:rPr>
          <w:rFonts w:ascii="Arial" w:hAnsi="Arial" w:cs="Arial"/>
        </w:rPr>
        <w:t xml:space="preserve"> the</w:t>
      </w:r>
      <w:r w:rsidRPr="00BC3877">
        <w:rPr>
          <w:rFonts w:ascii="Arial" w:hAnsi="Arial" w:cs="Arial"/>
        </w:rPr>
        <w:t xml:space="preserve"> 2018 academic year, the NDMC successfully awarded 41 bursaries to new applicants and 30 </w:t>
      </w:r>
      <w:r w:rsidRPr="00BC3877">
        <w:rPr>
          <w:rFonts w:ascii="Arial" w:hAnsi="Arial" w:cs="Arial"/>
        </w:rPr>
        <w:lastRenderedPageBreak/>
        <w:t xml:space="preserve">of the recipients were young people. Applications for the Disaster Management Bursary Programme are published annually through print media and the NDMC’s website. </w:t>
      </w:r>
    </w:p>
    <w:p w:rsidR="00353084" w:rsidRPr="00834857" w:rsidRDefault="00353084" w:rsidP="001E6246">
      <w:pPr>
        <w:spacing w:line="360" w:lineRule="auto"/>
        <w:contextualSpacing/>
        <w:jc w:val="both"/>
        <w:rPr>
          <w:rFonts w:ascii="Arial" w:hAnsi="Arial" w:cs="Arial"/>
        </w:rPr>
      </w:pPr>
    </w:p>
    <w:p w:rsidR="001E6246" w:rsidRPr="00BC3877" w:rsidRDefault="001E6246" w:rsidP="001E6246">
      <w:pPr>
        <w:spacing w:line="360" w:lineRule="auto"/>
        <w:contextualSpacing/>
        <w:jc w:val="both"/>
        <w:rPr>
          <w:rFonts w:ascii="Arial" w:hAnsi="Arial" w:cs="Arial"/>
          <w:b/>
          <w:u w:val="single"/>
        </w:rPr>
      </w:pPr>
      <w:r w:rsidRPr="00BC3877">
        <w:rPr>
          <w:rFonts w:ascii="Arial" w:hAnsi="Arial" w:cs="Arial"/>
          <w:b/>
          <w:u w:val="single"/>
        </w:rPr>
        <w:t>The Community Works Programme (CWP)</w:t>
      </w:r>
    </w:p>
    <w:p w:rsidR="001E6246" w:rsidRPr="00834857" w:rsidRDefault="001E6246" w:rsidP="001E6246">
      <w:pPr>
        <w:spacing w:line="360" w:lineRule="auto"/>
        <w:contextualSpacing/>
        <w:jc w:val="both"/>
        <w:rPr>
          <w:rFonts w:ascii="Arial" w:hAnsi="Arial" w:cs="Arial"/>
        </w:rPr>
      </w:pPr>
    </w:p>
    <w:p w:rsidR="001E6246" w:rsidRPr="00BC3877" w:rsidRDefault="001E6246" w:rsidP="00BC3877">
      <w:pPr>
        <w:pStyle w:val="ListParagraph"/>
        <w:numPr>
          <w:ilvl w:val="0"/>
          <w:numId w:val="6"/>
        </w:numPr>
        <w:spacing w:line="360" w:lineRule="auto"/>
        <w:rPr>
          <w:rFonts w:ascii="Arial" w:hAnsi="Arial" w:cs="Arial"/>
          <w:lang w:val="en-GB"/>
        </w:rPr>
      </w:pPr>
      <w:r w:rsidRPr="00BC3877">
        <w:rPr>
          <w:rFonts w:ascii="Arial" w:hAnsi="Arial" w:cs="Arial"/>
        </w:rPr>
        <w:t xml:space="preserve">In addition, the Department </w:t>
      </w:r>
      <w:r w:rsidR="00056D6F">
        <w:rPr>
          <w:rFonts w:ascii="Arial" w:hAnsi="Arial" w:cs="Arial"/>
        </w:rPr>
        <w:t>is</w:t>
      </w:r>
      <w:r w:rsidRPr="00BC3877">
        <w:rPr>
          <w:rFonts w:ascii="Arial" w:hAnsi="Arial" w:cs="Arial"/>
        </w:rPr>
        <w:t xml:space="preserve"> also </w:t>
      </w:r>
      <w:r w:rsidR="002C3937">
        <w:rPr>
          <w:rFonts w:ascii="Arial" w:hAnsi="Arial" w:cs="Arial"/>
        </w:rPr>
        <w:t>implementing the Community Work</w:t>
      </w:r>
      <w:r w:rsidRPr="00BC3877">
        <w:rPr>
          <w:rFonts w:ascii="Arial" w:hAnsi="Arial" w:cs="Arial"/>
        </w:rPr>
        <w:t xml:space="preserve"> Programme (CWP), as part of the government-wide Expanded Public Works</w:t>
      </w:r>
      <w:r w:rsidRPr="00BC3877">
        <w:rPr>
          <w:rFonts w:ascii="Arial" w:hAnsi="Arial" w:cs="Arial"/>
          <w:lang w:val="en-GB"/>
        </w:rPr>
        <w:t xml:space="preserve"> Programme. The CWP’s youth participation rate for the 2017/18 financial year is broken down in the table below: </w:t>
      </w:r>
    </w:p>
    <w:tbl>
      <w:tblPr>
        <w:tblW w:w="7827" w:type="dxa"/>
        <w:tblInd w:w="1295" w:type="dxa"/>
        <w:tblCellMar>
          <w:left w:w="0" w:type="dxa"/>
          <w:right w:w="0" w:type="dxa"/>
        </w:tblCellMar>
        <w:tblLook w:val="04A0" w:firstRow="1" w:lastRow="0" w:firstColumn="1" w:lastColumn="0" w:noHBand="0" w:noVBand="1"/>
      </w:tblPr>
      <w:tblGrid>
        <w:gridCol w:w="1537"/>
        <w:gridCol w:w="1470"/>
        <w:gridCol w:w="2520"/>
        <w:gridCol w:w="2300"/>
      </w:tblGrid>
      <w:tr w:rsidR="001E6246" w:rsidRPr="00834857" w:rsidTr="00BC3877">
        <w:trPr>
          <w:trHeight w:val="300"/>
        </w:trPr>
        <w:tc>
          <w:tcPr>
            <w:tcW w:w="1537" w:type="dxa"/>
            <w:tcBorders>
              <w:top w:val="single" w:sz="8" w:space="0" w:color="auto"/>
              <w:left w:val="single" w:sz="8" w:space="0" w:color="auto"/>
              <w:bottom w:val="single" w:sz="8" w:space="0" w:color="auto"/>
              <w:right w:val="single" w:sz="8" w:space="0" w:color="auto"/>
            </w:tcBorders>
            <w:shd w:val="clear" w:color="auto" w:fill="ED7D31"/>
            <w:noWrap/>
            <w:tcMar>
              <w:top w:w="0" w:type="dxa"/>
              <w:left w:w="108" w:type="dxa"/>
              <w:bottom w:w="0" w:type="dxa"/>
              <w:right w:w="108" w:type="dxa"/>
            </w:tcMar>
            <w:vAlign w:val="center"/>
            <w:hideMark/>
          </w:tcPr>
          <w:p w:rsidR="001E6246" w:rsidRPr="00834857" w:rsidRDefault="001E6246" w:rsidP="005B0456">
            <w:pPr>
              <w:spacing w:line="360" w:lineRule="auto"/>
              <w:jc w:val="both"/>
              <w:rPr>
                <w:rFonts w:ascii="Arial" w:hAnsi="Arial" w:cs="Arial"/>
                <w:lang w:val="en-ZA"/>
              </w:rPr>
            </w:pPr>
            <w:r w:rsidRPr="00834857">
              <w:rPr>
                <w:rFonts w:ascii="Arial" w:hAnsi="Arial" w:cs="Arial"/>
                <w:lang w:val="en-GB"/>
              </w:rPr>
              <w:t>Total Participation Rate</w:t>
            </w:r>
          </w:p>
        </w:tc>
        <w:tc>
          <w:tcPr>
            <w:tcW w:w="1470" w:type="dxa"/>
            <w:tcBorders>
              <w:top w:val="single" w:sz="8" w:space="0" w:color="auto"/>
              <w:left w:val="nil"/>
              <w:bottom w:val="single" w:sz="8" w:space="0" w:color="auto"/>
              <w:right w:val="single" w:sz="8" w:space="0" w:color="auto"/>
            </w:tcBorders>
            <w:shd w:val="clear" w:color="auto" w:fill="ED7D31"/>
            <w:noWrap/>
            <w:tcMar>
              <w:top w:w="0" w:type="dxa"/>
              <w:left w:w="108" w:type="dxa"/>
              <w:bottom w:w="0" w:type="dxa"/>
              <w:right w:w="108" w:type="dxa"/>
            </w:tcMar>
            <w:vAlign w:val="center"/>
            <w:hideMark/>
          </w:tcPr>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Total Youth Participants</w:t>
            </w:r>
          </w:p>
        </w:tc>
        <w:tc>
          <w:tcPr>
            <w:tcW w:w="2520" w:type="dxa"/>
            <w:tcBorders>
              <w:top w:val="single" w:sz="8" w:space="0" w:color="auto"/>
              <w:left w:val="nil"/>
              <w:bottom w:val="single" w:sz="8" w:space="0" w:color="auto"/>
              <w:right w:val="single" w:sz="8" w:space="0" w:color="auto"/>
            </w:tcBorders>
            <w:shd w:val="clear" w:color="auto" w:fill="ED7D31"/>
            <w:noWrap/>
            <w:tcMar>
              <w:top w:w="0" w:type="dxa"/>
              <w:left w:w="108" w:type="dxa"/>
              <w:bottom w:w="0" w:type="dxa"/>
              <w:right w:w="108" w:type="dxa"/>
            </w:tcMar>
            <w:vAlign w:val="center"/>
            <w:hideMark/>
          </w:tcPr>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Youth Female Participants and Percentage</w:t>
            </w:r>
          </w:p>
        </w:tc>
        <w:tc>
          <w:tcPr>
            <w:tcW w:w="2300" w:type="dxa"/>
            <w:tcBorders>
              <w:top w:val="single" w:sz="8" w:space="0" w:color="auto"/>
              <w:left w:val="nil"/>
              <w:bottom w:val="single" w:sz="8" w:space="0" w:color="auto"/>
              <w:right w:val="single" w:sz="8" w:space="0" w:color="auto"/>
            </w:tcBorders>
            <w:shd w:val="clear" w:color="auto" w:fill="ED7D31"/>
            <w:noWrap/>
            <w:tcMar>
              <w:top w:w="0" w:type="dxa"/>
              <w:left w:w="108" w:type="dxa"/>
              <w:bottom w:w="0" w:type="dxa"/>
              <w:right w:w="108" w:type="dxa"/>
            </w:tcMar>
            <w:vAlign w:val="center"/>
            <w:hideMark/>
          </w:tcPr>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Youth Male Participants and Percentage</w:t>
            </w:r>
          </w:p>
        </w:tc>
      </w:tr>
      <w:tr w:rsidR="001E6246" w:rsidRPr="00834857" w:rsidTr="00BC3877">
        <w:trPr>
          <w:trHeight w:val="300"/>
        </w:trPr>
        <w:tc>
          <w:tcPr>
            <w:tcW w:w="153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6246" w:rsidRPr="00834857" w:rsidRDefault="001E6246" w:rsidP="005B0456">
            <w:pPr>
              <w:spacing w:line="360" w:lineRule="auto"/>
              <w:jc w:val="both"/>
              <w:rPr>
                <w:rFonts w:ascii="Arial" w:hAnsi="Arial" w:cs="Arial"/>
                <w:lang w:val="en-GB"/>
              </w:rPr>
            </w:pPr>
          </w:p>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264909</w:t>
            </w:r>
          </w:p>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 </w:t>
            </w:r>
          </w:p>
        </w:tc>
        <w:tc>
          <w:tcPr>
            <w:tcW w:w="1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E6246" w:rsidRPr="00834857" w:rsidRDefault="001E6246" w:rsidP="005B0456">
            <w:pPr>
              <w:spacing w:line="360" w:lineRule="auto"/>
              <w:jc w:val="both"/>
              <w:rPr>
                <w:rFonts w:ascii="Arial" w:hAnsi="Arial" w:cs="Arial"/>
                <w:b/>
                <w:bCs/>
                <w:lang w:val="en-GB"/>
              </w:rPr>
            </w:pPr>
            <w:r w:rsidRPr="00834857">
              <w:rPr>
                <w:rFonts w:ascii="Arial" w:hAnsi="Arial" w:cs="Arial"/>
                <w:b/>
                <w:bCs/>
                <w:lang w:val="en-GB"/>
              </w:rPr>
              <w:t>98954</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76950</w:t>
            </w:r>
          </w:p>
        </w:tc>
        <w:tc>
          <w:tcPr>
            <w:tcW w:w="23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E6246" w:rsidRPr="00834857" w:rsidRDefault="001E6246" w:rsidP="005B0456">
            <w:pPr>
              <w:spacing w:line="360" w:lineRule="auto"/>
              <w:jc w:val="both"/>
              <w:rPr>
                <w:rFonts w:ascii="Arial" w:hAnsi="Arial" w:cs="Arial"/>
                <w:lang w:val="en-GB"/>
              </w:rPr>
            </w:pPr>
            <w:r w:rsidRPr="00834857">
              <w:rPr>
                <w:rFonts w:ascii="Arial" w:hAnsi="Arial" w:cs="Arial"/>
                <w:lang w:val="en-GB"/>
              </w:rPr>
              <w:t>22004</w:t>
            </w:r>
          </w:p>
        </w:tc>
      </w:tr>
      <w:tr w:rsidR="001E6246" w:rsidRPr="00834857" w:rsidTr="00BC3877">
        <w:trPr>
          <w:trHeight w:val="300"/>
        </w:trPr>
        <w:tc>
          <w:tcPr>
            <w:tcW w:w="0" w:type="auto"/>
            <w:vMerge/>
            <w:tcBorders>
              <w:top w:val="nil"/>
              <w:left w:val="single" w:sz="8" w:space="0" w:color="auto"/>
              <w:bottom w:val="single" w:sz="8" w:space="0" w:color="auto"/>
              <w:right w:val="single" w:sz="8" w:space="0" w:color="auto"/>
            </w:tcBorders>
            <w:vAlign w:val="center"/>
            <w:hideMark/>
          </w:tcPr>
          <w:p w:rsidR="001E6246" w:rsidRPr="00834857" w:rsidRDefault="001E6246" w:rsidP="005B0456">
            <w:pPr>
              <w:spacing w:line="360" w:lineRule="auto"/>
              <w:jc w:val="both"/>
              <w:rPr>
                <w:rFonts w:ascii="Arial" w:hAnsi="Arial" w:cs="Arial"/>
                <w:lang w:val="en-GB"/>
              </w:rPr>
            </w:pPr>
          </w:p>
        </w:tc>
        <w:tc>
          <w:tcPr>
            <w:tcW w:w="1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E6246" w:rsidRPr="00834857" w:rsidRDefault="001E6246" w:rsidP="005B0456">
            <w:pPr>
              <w:spacing w:line="360" w:lineRule="auto"/>
              <w:jc w:val="both"/>
              <w:rPr>
                <w:rFonts w:ascii="Arial" w:hAnsi="Arial" w:cs="Arial"/>
                <w:b/>
                <w:bCs/>
                <w:lang w:val="en-GB"/>
              </w:rPr>
            </w:pPr>
            <w:r w:rsidRPr="00834857">
              <w:rPr>
                <w:rFonts w:ascii="Arial" w:hAnsi="Arial" w:cs="Arial"/>
                <w:b/>
                <w:bCs/>
                <w:lang w:val="en-GB"/>
              </w:rPr>
              <w:t>37.35%</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E6246" w:rsidRPr="00834857" w:rsidRDefault="001E6246" w:rsidP="005B0456">
            <w:pPr>
              <w:spacing w:line="360" w:lineRule="auto"/>
              <w:jc w:val="both"/>
              <w:rPr>
                <w:rFonts w:ascii="Arial" w:hAnsi="Arial" w:cs="Arial"/>
                <w:b/>
                <w:bCs/>
                <w:lang w:val="en-GB"/>
              </w:rPr>
            </w:pPr>
            <w:r w:rsidRPr="00834857">
              <w:rPr>
                <w:rFonts w:ascii="Arial" w:hAnsi="Arial" w:cs="Arial"/>
                <w:b/>
                <w:bCs/>
                <w:lang w:val="en-GB"/>
              </w:rPr>
              <w:t>29.05%</w:t>
            </w:r>
          </w:p>
        </w:tc>
        <w:tc>
          <w:tcPr>
            <w:tcW w:w="23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E6246" w:rsidRPr="00834857" w:rsidRDefault="001E6246" w:rsidP="005B0456">
            <w:pPr>
              <w:spacing w:line="360" w:lineRule="auto"/>
              <w:jc w:val="both"/>
              <w:rPr>
                <w:rFonts w:ascii="Arial" w:hAnsi="Arial" w:cs="Arial"/>
                <w:b/>
                <w:bCs/>
                <w:lang w:val="en-GB"/>
              </w:rPr>
            </w:pPr>
            <w:r w:rsidRPr="00834857">
              <w:rPr>
                <w:rFonts w:ascii="Arial" w:hAnsi="Arial" w:cs="Arial"/>
                <w:b/>
                <w:bCs/>
                <w:lang w:val="en-GB"/>
              </w:rPr>
              <w:t>8.31%</w:t>
            </w:r>
          </w:p>
        </w:tc>
      </w:tr>
    </w:tbl>
    <w:p w:rsidR="001E6246" w:rsidRPr="00834857" w:rsidRDefault="001E6246" w:rsidP="00BC3877">
      <w:pPr>
        <w:spacing w:line="360" w:lineRule="auto"/>
        <w:ind w:left="720" w:firstLine="720"/>
        <w:jc w:val="both"/>
        <w:rPr>
          <w:rFonts w:ascii="Arial" w:hAnsi="Arial" w:cs="Arial"/>
          <w:lang w:val="en-GB"/>
        </w:rPr>
      </w:pPr>
      <w:r w:rsidRPr="00834857">
        <w:rPr>
          <w:rFonts w:ascii="Arial" w:hAnsi="Arial" w:cs="Arial"/>
          <w:lang w:val="en-GB"/>
        </w:rPr>
        <w:t>Table 1: Youth Participation in CWP 2017/18 FY</w:t>
      </w:r>
    </w:p>
    <w:p w:rsidR="001E6246" w:rsidRPr="00834857" w:rsidRDefault="001E6246" w:rsidP="001E6246">
      <w:pPr>
        <w:spacing w:line="360" w:lineRule="auto"/>
        <w:jc w:val="both"/>
        <w:rPr>
          <w:rFonts w:ascii="Arial" w:hAnsi="Arial" w:cs="Arial"/>
          <w:lang w:val="en-GB"/>
        </w:rPr>
      </w:pPr>
    </w:p>
    <w:p w:rsidR="001E6246" w:rsidRPr="00990251" w:rsidRDefault="001E6246" w:rsidP="001E6246">
      <w:pPr>
        <w:pStyle w:val="ListParagraph"/>
        <w:numPr>
          <w:ilvl w:val="0"/>
          <w:numId w:val="6"/>
        </w:numPr>
        <w:spacing w:line="360" w:lineRule="auto"/>
        <w:jc w:val="both"/>
        <w:rPr>
          <w:rFonts w:ascii="Arial" w:hAnsi="Arial" w:cs="Arial"/>
          <w:lang w:val="en-GB"/>
        </w:rPr>
      </w:pPr>
      <w:r w:rsidRPr="001E6246">
        <w:rPr>
          <w:rFonts w:ascii="Arial" w:hAnsi="Arial" w:cs="Arial"/>
          <w:lang w:val="en-GB"/>
        </w:rPr>
        <w:t>The Department is forming partnerships with institutions of higher learning to ensure the up-skilling of participants. Sixteen (16) CWP participants have graduated with a 3 year Grade R Diploma from the North West University. On 8 June 2018, 55 participants in Mahikeng obtained NQF Level 2 qualification in Environmental Practice through training provided by LGSETA. Young participants are also being supported to establish their own cooperatives through training provided in partnership with the Reggio Emilia municipality in Italy. The Department has further partnered with the Centre for the Study of Violence and Reconciliation (CSVR) and GIZ to train young participants on crime prevention in Orange Farm, Ivory Park and Kh</w:t>
      </w:r>
      <w:r w:rsidR="00226C6F">
        <w:rPr>
          <w:rFonts w:ascii="Arial" w:hAnsi="Arial" w:cs="Arial"/>
          <w:lang w:val="en-GB"/>
        </w:rPr>
        <w:t xml:space="preserve">ayelitsha; as a result of this, </w:t>
      </w:r>
      <w:r w:rsidRPr="001E6246">
        <w:rPr>
          <w:rFonts w:ascii="Arial" w:hAnsi="Arial" w:cs="Arial"/>
          <w:lang w:val="en-GB"/>
        </w:rPr>
        <w:t>crimes against women and children have been reduced in the pilot sites in these areas.</w:t>
      </w:r>
    </w:p>
    <w:p w:rsidR="00990251" w:rsidRDefault="001E6246" w:rsidP="00BC3877">
      <w:pPr>
        <w:spacing w:line="360" w:lineRule="auto"/>
        <w:ind w:left="567" w:hanging="567"/>
        <w:jc w:val="both"/>
        <w:rPr>
          <w:rFonts w:ascii="Arial" w:hAnsi="Arial" w:cs="Arial"/>
          <w:lang w:val="en-GB"/>
        </w:rPr>
      </w:pPr>
      <w:r>
        <w:rPr>
          <w:rFonts w:ascii="Arial" w:hAnsi="Arial" w:cs="Arial"/>
          <w:lang w:val="en-GB"/>
        </w:rPr>
        <w:t xml:space="preserve">(b) </w:t>
      </w:r>
      <w:r w:rsidR="00BC3877">
        <w:rPr>
          <w:rFonts w:ascii="Arial" w:hAnsi="Arial" w:cs="Arial"/>
          <w:lang w:val="en-GB"/>
        </w:rPr>
        <w:t xml:space="preserve"> </w:t>
      </w:r>
      <w:r w:rsidR="00990251">
        <w:rPr>
          <w:rFonts w:ascii="Arial" w:hAnsi="Arial" w:cs="Arial"/>
          <w:lang w:val="en-GB"/>
        </w:rPr>
        <w:tab/>
        <w:t>Funding for the programmes:</w:t>
      </w:r>
      <w:r w:rsidR="00BC3877">
        <w:rPr>
          <w:rFonts w:ascii="Arial" w:hAnsi="Arial" w:cs="Arial"/>
          <w:lang w:val="en-GB"/>
        </w:rPr>
        <w:t xml:space="preserve"> </w:t>
      </w:r>
    </w:p>
    <w:p w:rsidR="00990251" w:rsidRPr="00990251" w:rsidRDefault="00990251" w:rsidP="00990251">
      <w:pPr>
        <w:pStyle w:val="ListParagraph"/>
        <w:ind w:left="851" w:hanging="425"/>
        <w:rPr>
          <w:rFonts w:ascii="Arial" w:hAnsi="Arial" w:cs="Arial"/>
        </w:rPr>
      </w:pPr>
      <w:r>
        <w:rPr>
          <w:rFonts w:ascii="Arial" w:hAnsi="Arial" w:cs="Arial"/>
          <w:lang w:val="en-GB"/>
        </w:rPr>
        <w:t xml:space="preserve">(1) </w:t>
      </w:r>
      <w:r w:rsidRPr="00990251">
        <w:rPr>
          <w:rFonts w:ascii="Arial" w:hAnsi="Arial" w:cs="Arial"/>
          <w:lang w:val="en-GB"/>
        </w:rPr>
        <w:t xml:space="preserve">Below are the </w:t>
      </w:r>
      <w:r w:rsidR="002C3937">
        <w:rPr>
          <w:rFonts w:ascii="Arial" w:hAnsi="Arial" w:cs="Arial"/>
        </w:rPr>
        <w:t xml:space="preserve">allocations </w:t>
      </w:r>
      <w:r w:rsidRPr="00990251">
        <w:rPr>
          <w:rFonts w:ascii="Arial" w:hAnsi="Arial" w:cs="Arial"/>
        </w:rPr>
        <w:t xml:space="preserve">for </w:t>
      </w:r>
      <w:r w:rsidRPr="00990251">
        <w:rPr>
          <w:rFonts w:ascii="Arial" w:hAnsi="Arial" w:cs="Arial"/>
          <w:lang w:val="en-GB"/>
        </w:rPr>
        <w:t xml:space="preserve">MISA’s Capacity Building Programmes for </w:t>
      </w:r>
      <w:r>
        <w:rPr>
          <w:rFonts w:ascii="Arial" w:hAnsi="Arial" w:cs="Arial"/>
          <w:lang w:val="en-GB"/>
        </w:rPr>
        <w:t xml:space="preserve">the </w:t>
      </w:r>
      <w:r w:rsidRPr="00990251">
        <w:rPr>
          <w:rFonts w:ascii="Arial" w:hAnsi="Arial" w:cs="Arial"/>
        </w:rPr>
        <w:t>2018/19 financial year.</w:t>
      </w:r>
    </w:p>
    <w:p w:rsidR="00990251" w:rsidRPr="00990251" w:rsidRDefault="00990251" w:rsidP="00990251">
      <w:pPr>
        <w:rPr>
          <w:rFonts w:ascii="Arial" w:hAnsi="Arial" w:cs="Arial"/>
          <w:color w:val="1F497D"/>
        </w:rPr>
      </w:pPr>
    </w:p>
    <w:tbl>
      <w:tblPr>
        <w:tblW w:w="0" w:type="auto"/>
        <w:tblInd w:w="1415" w:type="dxa"/>
        <w:tblCellMar>
          <w:left w:w="0" w:type="dxa"/>
          <w:right w:w="0" w:type="dxa"/>
        </w:tblCellMar>
        <w:tblLook w:val="04A0" w:firstRow="1" w:lastRow="0" w:firstColumn="1" w:lastColumn="0" w:noHBand="0" w:noVBand="1"/>
      </w:tblPr>
      <w:tblGrid>
        <w:gridCol w:w="3055"/>
        <w:gridCol w:w="2160"/>
        <w:gridCol w:w="2970"/>
      </w:tblGrid>
      <w:tr w:rsidR="00990251" w:rsidRPr="00990251" w:rsidTr="00990251">
        <w:trPr>
          <w:trHeight w:val="395"/>
        </w:trPr>
        <w:tc>
          <w:tcPr>
            <w:tcW w:w="30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990251" w:rsidRPr="00990251" w:rsidRDefault="00990251">
            <w:pPr>
              <w:jc w:val="both"/>
              <w:rPr>
                <w:rFonts w:ascii="Arial" w:hAnsi="Arial" w:cs="Arial"/>
                <w:b/>
                <w:bCs/>
                <w:lang w:val="en-ZA"/>
              </w:rPr>
            </w:pPr>
            <w:r w:rsidRPr="00990251">
              <w:rPr>
                <w:rFonts w:ascii="Arial" w:hAnsi="Arial" w:cs="Arial"/>
                <w:b/>
                <w:bCs/>
              </w:rPr>
              <w:t>Programme Name</w:t>
            </w:r>
          </w:p>
        </w:tc>
        <w:tc>
          <w:tcPr>
            <w:tcW w:w="21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990251" w:rsidRPr="00990251" w:rsidRDefault="00990251">
            <w:pPr>
              <w:jc w:val="both"/>
              <w:rPr>
                <w:rFonts w:ascii="Arial" w:hAnsi="Arial" w:cs="Arial"/>
                <w:b/>
                <w:bCs/>
              </w:rPr>
            </w:pPr>
            <w:r w:rsidRPr="00990251">
              <w:rPr>
                <w:rFonts w:ascii="Arial" w:hAnsi="Arial" w:cs="Arial"/>
                <w:b/>
                <w:bCs/>
              </w:rPr>
              <w:t xml:space="preserve">Numbers </w:t>
            </w:r>
          </w:p>
        </w:tc>
        <w:tc>
          <w:tcPr>
            <w:tcW w:w="29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990251" w:rsidRPr="00990251" w:rsidRDefault="00990251">
            <w:pPr>
              <w:jc w:val="both"/>
              <w:rPr>
                <w:rFonts w:ascii="Arial" w:hAnsi="Arial" w:cs="Arial"/>
                <w:b/>
                <w:bCs/>
              </w:rPr>
            </w:pPr>
            <w:r w:rsidRPr="00990251">
              <w:rPr>
                <w:rFonts w:ascii="Arial" w:hAnsi="Arial" w:cs="Arial"/>
                <w:b/>
                <w:bCs/>
              </w:rPr>
              <w:t xml:space="preserve">Budget </w:t>
            </w:r>
          </w:p>
        </w:tc>
      </w:tr>
      <w:tr w:rsidR="00990251" w:rsidRPr="00990251" w:rsidTr="00990251">
        <w:trPr>
          <w:trHeight w:val="350"/>
        </w:trPr>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0251" w:rsidRPr="00990251" w:rsidRDefault="00990251">
            <w:pPr>
              <w:jc w:val="both"/>
              <w:rPr>
                <w:rFonts w:ascii="Arial" w:hAnsi="Arial" w:cs="Arial"/>
              </w:rPr>
            </w:pPr>
            <w:r w:rsidRPr="00990251">
              <w:rPr>
                <w:rFonts w:ascii="Arial" w:hAnsi="Arial" w:cs="Arial"/>
              </w:rPr>
              <w:t>Apprentices</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90251" w:rsidRPr="00990251" w:rsidRDefault="00990251">
            <w:pPr>
              <w:jc w:val="both"/>
              <w:rPr>
                <w:rFonts w:ascii="Arial" w:hAnsi="Arial" w:cs="Arial"/>
              </w:rPr>
            </w:pPr>
            <w:r w:rsidRPr="00990251">
              <w:rPr>
                <w:rFonts w:ascii="Arial" w:hAnsi="Arial" w:cs="Arial"/>
              </w:rPr>
              <w:t>258</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990251" w:rsidRPr="00990251" w:rsidRDefault="00990251">
            <w:pPr>
              <w:jc w:val="both"/>
              <w:rPr>
                <w:rFonts w:ascii="Arial" w:hAnsi="Arial" w:cs="Arial"/>
              </w:rPr>
            </w:pPr>
            <w:r w:rsidRPr="00990251">
              <w:rPr>
                <w:rFonts w:ascii="Arial" w:hAnsi="Arial" w:cs="Arial"/>
              </w:rPr>
              <w:t xml:space="preserve">R 5million </w:t>
            </w:r>
          </w:p>
        </w:tc>
      </w:tr>
      <w:tr w:rsidR="00990251" w:rsidRPr="00990251" w:rsidTr="00990251">
        <w:trPr>
          <w:trHeight w:val="350"/>
        </w:trPr>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0251" w:rsidRPr="00990251" w:rsidRDefault="00990251">
            <w:pPr>
              <w:jc w:val="both"/>
              <w:rPr>
                <w:rFonts w:ascii="Arial" w:hAnsi="Arial" w:cs="Arial"/>
              </w:rPr>
            </w:pPr>
            <w:r w:rsidRPr="00990251">
              <w:rPr>
                <w:rFonts w:ascii="Arial" w:hAnsi="Arial" w:cs="Arial"/>
              </w:rPr>
              <w:t xml:space="preserve">Young Graduates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90251" w:rsidRPr="00990251" w:rsidRDefault="00990251">
            <w:pPr>
              <w:jc w:val="both"/>
              <w:rPr>
                <w:rFonts w:ascii="Arial" w:hAnsi="Arial" w:cs="Arial"/>
              </w:rPr>
            </w:pPr>
            <w:r w:rsidRPr="00990251">
              <w:rPr>
                <w:rFonts w:ascii="Arial" w:hAnsi="Arial" w:cs="Arial"/>
              </w:rPr>
              <w:t xml:space="preserve">150 </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990251" w:rsidRPr="00990251" w:rsidRDefault="00990251">
            <w:pPr>
              <w:jc w:val="both"/>
              <w:rPr>
                <w:rFonts w:ascii="Arial" w:hAnsi="Arial" w:cs="Arial"/>
              </w:rPr>
            </w:pPr>
            <w:r w:rsidRPr="00990251">
              <w:rPr>
                <w:rFonts w:ascii="Arial" w:hAnsi="Arial" w:cs="Arial"/>
              </w:rPr>
              <w:t>R 30million</w:t>
            </w:r>
          </w:p>
        </w:tc>
      </w:tr>
      <w:tr w:rsidR="00990251" w:rsidRPr="00990251" w:rsidTr="00990251">
        <w:trPr>
          <w:trHeight w:val="350"/>
        </w:trPr>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0251" w:rsidRPr="00990251" w:rsidRDefault="00990251">
            <w:pPr>
              <w:jc w:val="both"/>
              <w:rPr>
                <w:rFonts w:ascii="Arial" w:hAnsi="Arial" w:cs="Arial"/>
              </w:rPr>
            </w:pPr>
            <w:r w:rsidRPr="00990251">
              <w:rPr>
                <w:rFonts w:ascii="Arial" w:hAnsi="Arial" w:cs="Arial"/>
              </w:rPr>
              <w:lastRenderedPageBreak/>
              <w:t>Experiential Lea</w:t>
            </w:r>
            <w:r w:rsidR="002C3937">
              <w:rPr>
                <w:rFonts w:ascii="Arial" w:hAnsi="Arial" w:cs="Arial"/>
              </w:rPr>
              <w:t>r</w:t>
            </w:r>
            <w:r w:rsidRPr="00990251">
              <w:rPr>
                <w:rFonts w:ascii="Arial" w:hAnsi="Arial" w:cs="Arial"/>
              </w:rPr>
              <w:t xml:space="preserve">ners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90251" w:rsidRPr="00990251" w:rsidRDefault="00990251">
            <w:pPr>
              <w:jc w:val="both"/>
              <w:rPr>
                <w:rFonts w:ascii="Arial" w:hAnsi="Arial" w:cs="Arial"/>
              </w:rPr>
            </w:pPr>
            <w:r w:rsidRPr="00990251">
              <w:rPr>
                <w:rFonts w:ascii="Arial" w:hAnsi="Arial" w:cs="Arial"/>
              </w:rPr>
              <w:t>100</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990251" w:rsidRPr="00990251" w:rsidRDefault="00226C6F">
            <w:pPr>
              <w:jc w:val="both"/>
              <w:rPr>
                <w:rFonts w:ascii="Arial" w:hAnsi="Arial" w:cs="Arial"/>
              </w:rPr>
            </w:pPr>
            <w:r>
              <w:rPr>
                <w:rFonts w:ascii="Arial" w:hAnsi="Arial" w:cs="Arial"/>
              </w:rPr>
              <w:t>R 5</w:t>
            </w:r>
            <w:r w:rsidR="00990251" w:rsidRPr="00990251">
              <w:rPr>
                <w:rFonts w:ascii="Arial" w:hAnsi="Arial" w:cs="Arial"/>
              </w:rPr>
              <w:t>million</w:t>
            </w:r>
          </w:p>
        </w:tc>
      </w:tr>
      <w:tr w:rsidR="00990251" w:rsidRPr="00990251" w:rsidTr="00990251">
        <w:trPr>
          <w:trHeight w:val="350"/>
        </w:trPr>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0251" w:rsidRPr="00990251" w:rsidRDefault="00990251">
            <w:pPr>
              <w:jc w:val="both"/>
              <w:rPr>
                <w:rFonts w:ascii="Arial" w:hAnsi="Arial" w:cs="Arial"/>
              </w:rPr>
            </w:pPr>
            <w:r w:rsidRPr="00990251">
              <w:rPr>
                <w:rFonts w:ascii="Arial" w:hAnsi="Arial" w:cs="Arial"/>
              </w:rPr>
              <w:t>Artisans and Process Controllers</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90251" w:rsidRPr="00990251" w:rsidRDefault="00990251">
            <w:pPr>
              <w:jc w:val="both"/>
              <w:rPr>
                <w:rFonts w:ascii="Arial" w:hAnsi="Arial" w:cs="Arial"/>
              </w:rPr>
            </w:pPr>
            <w:r w:rsidRPr="00990251">
              <w:rPr>
                <w:rFonts w:ascii="Arial" w:hAnsi="Arial" w:cs="Arial"/>
              </w:rPr>
              <w:t>101</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990251" w:rsidRPr="00990251" w:rsidRDefault="00226C6F">
            <w:pPr>
              <w:jc w:val="both"/>
              <w:rPr>
                <w:rFonts w:ascii="Arial" w:hAnsi="Arial" w:cs="Arial"/>
              </w:rPr>
            </w:pPr>
            <w:r>
              <w:rPr>
                <w:rFonts w:ascii="Arial" w:hAnsi="Arial" w:cs="Arial"/>
              </w:rPr>
              <w:t>R 21</w:t>
            </w:r>
            <w:r w:rsidR="00990251" w:rsidRPr="00990251">
              <w:rPr>
                <w:rFonts w:ascii="Arial" w:hAnsi="Arial" w:cs="Arial"/>
              </w:rPr>
              <w:t>million</w:t>
            </w:r>
          </w:p>
        </w:tc>
      </w:tr>
      <w:tr w:rsidR="00990251" w:rsidRPr="00990251" w:rsidTr="00990251">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0251" w:rsidRPr="00990251" w:rsidRDefault="00990251">
            <w:pPr>
              <w:jc w:val="both"/>
              <w:rPr>
                <w:rFonts w:ascii="Arial" w:hAnsi="Arial" w:cs="Arial"/>
                <w:b/>
                <w:bCs/>
              </w:rPr>
            </w:pPr>
            <w:r w:rsidRPr="00990251">
              <w:rPr>
                <w:rFonts w:ascii="Arial" w:hAnsi="Arial" w:cs="Arial"/>
                <w:b/>
                <w:bCs/>
              </w:rPr>
              <w:t xml:space="preserve">Total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990251" w:rsidRPr="00990251" w:rsidRDefault="00990251">
            <w:pPr>
              <w:jc w:val="both"/>
              <w:rPr>
                <w:rFonts w:ascii="Arial" w:hAnsi="Arial" w:cs="Arial"/>
              </w:rPr>
            </w:pPr>
            <w:r w:rsidRPr="00990251">
              <w:rPr>
                <w:rFonts w:ascii="Arial" w:hAnsi="Arial" w:cs="Arial"/>
              </w:rPr>
              <w:t>609</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990251" w:rsidRPr="00990251" w:rsidRDefault="00226C6F">
            <w:pPr>
              <w:jc w:val="both"/>
              <w:rPr>
                <w:rFonts w:ascii="Arial" w:hAnsi="Arial" w:cs="Arial"/>
              </w:rPr>
            </w:pPr>
            <w:r>
              <w:rPr>
                <w:rFonts w:ascii="Arial" w:hAnsi="Arial" w:cs="Arial"/>
              </w:rPr>
              <w:t>R 61</w:t>
            </w:r>
            <w:r w:rsidR="00990251" w:rsidRPr="00990251">
              <w:rPr>
                <w:rFonts w:ascii="Arial" w:hAnsi="Arial" w:cs="Arial"/>
              </w:rPr>
              <w:t xml:space="preserve">million </w:t>
            </w:r>
          </w:p>
        </w:tc>
      </w:tr>
    </w:tbl>
    <w:p w:rsidR="00990251" w:rsidRDefault="00990251" w:rsidP="00990251">
      <w:pPr>
        <w:rPr>
          <w:rFonts w:ascii="Calibri" w:eastAsiaTheme="minorHAnsi" w:hAnsi="Calibri"/>
          <w:color w:val="1F497D"/>
          <w:sz w:val="22"/>
          <w:szCs w:val="22"/>
        </w:rPr>
      </w:pPr>
    </w:p>
    <w:p w:rsidR="00990251" w:rsidRDefault="00990251" w:rsidP="00BC3877">
      <w:pPr>
        <w:spacing w:line="360" w:lineRule="auto"/>
        <w:ind w:left="567" w:hanging="567"/>
        <w:jc w:val="both"/>
        <w:rPr>
          <w:rFonts w:ascii="Arial" w:hAnsi="Arial" w:cs="Arial"/>
          <w:lang w:val="en-GB"/>
        </w:rPr>
      </w:pPr>
    </w:p>
    <w:p w:rsidR="00990251" w:rsidRDefault="00990251" w:rsidP="00BC3877">
      <w:pPr>
        <w:spacing w:line="360" w:lineRule="auto"/>
        <w:ind w:left="567" w:hanging="567"/>
        <w:jc w:val="both"/>
        <w:rPr>
          <w:rFonts w:ascii="Arial" w:hAnsi="Arial" w:cs="Arial"/>
          <w:lang w:val="en-GB"/>
        </w:rPr>
      </w:pPr>
    </w:p>
    <w:p w:rsidR="001E6246" w:rsidRDefault="00990251" w:rsidP="00226C6F">
      <w:pPr>
        <w:pStyle w:val="ListParagraph"/>
        <w:numPr>
          <w:ilvl w:val="0"/>
          <w:numId w:val="6"/>
        </w:numPr>
        <w:spacing w:line="360" w:lineRule="auto"/>
        <w:jc w:val="both"/>
        <w:rPr>
          <w:rFonts w:ascii="Arial" w:hAnsi="Arial" w:cs="Arial"/>
          <w:lang w:val="en-GB"/>
        </w:rPr>
      </w:pPr>
      <w:r w:rsidRPr="00226C6F">
        <w:rPr>
          <w:rFonts w:ascii="Arial" w:hAnsi="Arial" w:cs="Arial"/>
          <w:lang w:val="en-GB"/>
        </w:rPr>
        <w:t xml:space="preserve">The </w:t>
      </w:r>
      <w:r w:rsidR="002C3937">
        <w:rPr>
          <w:rFonts w:ascii="Arial" w:hAnsi="Arial" w:cs="Arial"/>
          <w:lang w:val="en-GB"/>
        </w:rPr>
        <w:t>annual budget for the Disaster M</w:t>
      </w:r>
      <w:r w:rsidRPr="00226C6F">
        <w:rPr>
          <w:rFonts w:ascii="Arial" w:hAnsi="Arial" w:cs="Arial"/>
          <w:lang w:val="en-GB"/>
        </w:rPr>
        <w:t xml:space="preserve">anagement </w:t>
      </w:r>
      <w:r w:rsidR="00226C6F" w:rsidRPr="00226C6F">
        <w:rPr>
          <w:rFonts w:ascii="Arial" w:hAnsi="Arial" w:cs="Arial"/>
          <w:lang w:val="en-GB"/>
        </w:rPr>
        <w:t>Bursary Programme is R2million.</w:t>
      </w:r>
    </w:p>
    <w:p w:rsidR="00944E61" w:rsidRPr="00226C6F" w:rsidRDefault="00944E61" w:rsidP="00226C6F">
      <w:pPr>
        <w:pStyle w:val="ListParagraph"/>
        <w:numPr>
          <w:ilvl w:val="0"/>
          <w:numId w:val="6"/>
        </w:numPr>
        <w:spacing w:line="360" w:lineRule="auto"/>
        <w:jc w:val="both"/>
        <w:rPr>
          <w:rFonts w:ascii="Arial" w:hAnsi="Arial" w:cs="Arial"/>
          <w:lang w:val="en-GB"/>
        </w:rPr>
      </w:pPr>
      <w:r>
        <w:rPr>
          <w:rFonts w:ascii="Arial" w:hAnsi="Arial" w:cs="Arial"/>
          <w:lang w:val="en-GB"/>
        </w:rPr>
        <w:t xml:space="preserve">Young people benefit equally from the CWP budget with other vulnerable groups from poor communities.  </w:t>
      </w:r>
    </w:p>
    <w:p w:rsidR="001E6246" w:rsidRPr="00834857" w:rsidRDefault="001E6246" w:rsidP="001E6246">
      <w:pPr>
        <w:spacing w:line="360" w:lineRule="auto"/>
        <w:jc w:val="both"/>
        <w:rPr>
          <w:rFonts w:ascii="Arial" w:hAnsi="Arial" w:cs="Arial"/>
          <w:lang w:val="en-GB"/>
        </w:rPr>
      </w:pPr>
    </w:p>
    <w:p w:rsidR="001E6246" w:rsidRPr="00834857" w:rsidRDefault="001E6246" w:rsidP="001E6246">
      <w:pPr>
        <w:spacing w:line="360" w:lineRule="auto"/>
        <w:jc w:val="both"/>
        <w:rPr>
          <w:rFonts w:ascii="Arial" w:hAnsi="Arial" w:cs="Arial"/>
          <w:b/>
          <w:bCs/>
          <w:color w:val="000000"/>
          <w:lang w:val="en-GB"/>
        </w:rPr>
      </w:pPr>
    </w:p>
    <w:p w:rsidR="001E6246" w:rsidRPr="00834857" w:rsidRDefault="001E6246" w:rsidP="001E6246">
      <w:pPr>
        <w:spacing w:line="360" w:lineRule="auto"/>
        <w:jc w:val="both"/>
        <w:rPr>
          <w:rFonts w:ascii="Arial" w:hAnsi="Arial" w:cs="Arial"/>
          <w:b/>
          <w:bCs/>
          <w:color w:val="000000"/>
          <w:lang w:val="en-GB"/>
        </w:rPr>
      </w:pPr>
    </w:p>
    <w:p w:rsidR="001E6246" w:rsidRPr="00834857" w:rsidRDefault="001E6246" w:rsidP="001E6246">
      <w:pPr>
        <w:spacing w:line="360" w:lineRule="auto"/>
        <w:jc w:val="both"/>
        <w:rPr>
          <w:rFonts w:ascii="Arial" w:hAnsi="Arial" w:cs="Arial"/>
          <w:b/>
          <w:bCs/>
          <w:color w:val="000000"/>
          <w:lang w:val="en-GB"/>
        </w:rPr>
      </w:pPr>
    </w:p>
    <w:p w:rsidR="001E6246" w:rsidRPr="00834857" w:rsidRDefault="001E6246" w:rsidP="001E6246">
      <w:pPr>
        <w:spacing w:line="360" w:lineRule="auto"/>
        <w:jc w:val="both"/>
        <w:rPr>
          <w:rFonts w:ascii="Arial" w:hAnsi="Arial" w:cs="Arial"/>
          <w:b/>
          <w:bCs/>
          <w:color w:val="000000"/>
          <w:lang w:val="en-GB"/>
        </w:rPr>
      </w:pPr>
    </w:p>
    <w:p w:rsidR="001E6246" w:rsidRPr="00834857" w:rsidRDefault="001E6246" w:rsidP="001E6246">
      <w:pPr>
        <w:spacing w:line="360" w:lineRule="auto"/>
        <w:jc w:val="both"/>
        <w:rPr>
          <w:rFonts w:ascii="Arial" w:hAnsi="Arial" w:cs="Arial"/>
          <w:b/>
          <w:bCs/>
          <w:color w:val="000000"/>
          <w:lang w:val="en-GB"/>
        </w:rPr>
      </w:pPr>
    </w:p>
    <w:sectPr w:rsidR="001E6246" w:rsidRPr="00834857" w:rsidSect="00990251">
      <w:footerReference w:type="default" r:id="rId8"/>
      <w:pgSz w:w="12240" w:h="15840"/>
      <w:pgMar w:top="568" w:right="758" w:bottom="709" w:left="1440" w:header="708" w:footer="708" w:gutter="0"/>
      <w:pgNumType w:start="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20E" w:rsidRDefault="0043220E">
      <w:r>
        <w:separator/>
      </w:r>
    </w:p>
  </w:endnote>
  <w:endnote w:type="continuationSeparator" w:id="0">
    <w:p w:rsidR="0043220E" w:rsidRDefault="0043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255342"/>
      <w:docPartObj>
        <w:docPartGallery w:val="Page Numbers (Bottom of Page)"/>
        <w:docPartUnique/>
      </w:docPartObj>
    </w:sdtPr>
    <w:sdtEndPr>
      <w:rPr>
        <w:noProof/>
      </w:rPr>
    </w:sdtEndPr>
    <w:sdtContent>
      <w:p w:rsidR="00C02AAC" w:rsidRDefault="004E5548">
        <w:pPr>
          <w:pStyle w:val="Footer"/>
          <w:jc w:val="right"/>
        </w:pPr>
        <w:r>
          <w:fldChar w:fldCharType="begin"/>
        </w:r>
        <w:r>
          <w:instrText xml:space="preserve"> PAGE   \* MERGEFORMAT </w:instrText>
        </w:r>
        <w:r>
          <w:fldChar w:fldCharType="separate"/>
        </w:r>
        <w:r w:rsidR="002D4EAE">
          <w:rPr>
            <w:noProof/>
          </w:rPr>
          <w:t>5</w:t>
        </w:r>
        <w:r>
          <w:rPr>
            <w:noProof/>
          </w:rPr>
          <w:fldChar w:fldCharType="end"/>
        </w:r>
      </w:p>
    </w:sdtContent>
  </w:sdt>
  <w:p w:rsidR="00A757A5" w:rsidRDefault="00432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20E" w:rsidRDefault="0043220E">
      <w:r>
        <w:separator/>
      </w:r>
    </w:p>
  </w:footnote>
  <w:footnote w:type="continuationSeparator" w:id="0">
    <w:p w:rsidR="0043220E" w:rsidRDefault="00432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D2A"/>
    <w:multiLevelType w:val="hybridMultilevel"/>
    <w:tmpl w:val="D7E4C8DE"/>
    <w:lvl w:ilvl="0" w:tplc="B3844B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F6397"/>
    <w:multiLevelType w:val="hybridMultilevel"/>
    <w:tmpl w:val="FDD6AE6A"/>
    <w:lvl w:ilvl="0" w:tplc="BC2684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43516"/>
    <w:multiLevelType w:val="hybridMultilevel"/>
    <w:tmpl w:val="B7B4260E"/>
    <w:lvl w:ilvl="0" w:tplc="2C52CB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8E63490"/>
    <w:multiLevelType w:val="hybridMultilevel"/>
    <w:tmpl w:val="6318E920"/>
    <w:lvl w:ilvl="0" w:tplc="2C52CBAA">
      <w:start w:val="1"/>
      <w:numFmt w:val="decimal"/>
      <w:lvlText w:val="(%1)"/>
      <w:lvlJc w:val="left"/>
      <w:pPr>
        <w:ind w:left="855" w:hanging="360"/>
      </w:pPr>
      <w:rPr>
        <w:rFonts w:hint="default"/>
      </w:rPr>
    </w:lvl>
    <w:lvl w:ilvl="1" w:tplc="1C090019" w:tentative="1">
      <w:start w:val="1"/>
      <w:numFmt w:val="lowerLetter"/>
      <w:lvlText w:val="%2."/>
      <w:lvlJc w:val="left"/>
      <w:pPr>
        <w:ind w:left="1575" w:hanging="360"/>
      </w:pPr>
    </w:lvl>
    <w:lvl w:ilvl="2" w:tplc="1C09001B" w:tentative="1">
      <w:start w:val="1"/>
      <w:numFmt w:val="lowerRoman"/>
      <w:lvlText w:val="%3."/>
      <w:lvlJc w:val="right"/>
      <w:pPr>
        <w:ind w:left="2295" w:hanging="180"/>
      </w:pPr>
    </w:lvl>
    <w:lvl w:ilvl="3" w:tplc="1C09000F" w:tentative="1">
      <w:start w:val="1"/>
      <w:numFmt w:val="decimal"/>
      <w:lvlText w:val="%4."/>
      <w:lvlJc w:val="left"/>
      <w:pPr>
        <w:ind w:left="3015" w:hanging="360"/>
      </w:pPr>
    </w:lvl>
    <w:lvl w:ilvl="4" w:tplc="1C090019" w:tentative="1">
      <w:start w:val="1"/>
      <w:numFmt w:val="lowerLetter"/>
      <w:lvlText w:val="%5."/>
      <w:lvlJc w:val="left"/>
      <w:pPr>
        <w:ind w:left="3735" w:hanging="360"/>
      </w:pPr>
    </w:lvl>
    <w:lvl w:ilvl="5" w:tplc="1C09001B" w:tentative="1">
      <w:start w:val="1"/>
      <w:numFmt w:val="lowerRoman"/>
      <w:lvlText w:val="%6."/>
      <w:lvlJc w:val="right"/>
      <w:pPr>
        <w:ind w:left="4455" w:hanging="180"/>
      </w:pPr>
    </w:lvl>
    <w:lvl w:ilvl="6" w:tplc="1C09000F" w:tentative="1">
      <w:start w:val="1"/>
      <w:numFmt w:val="decimal"/>
      <w:lvlText w:val="%7."/>
      <w:lvlJc w:val="left"/>
      <w:pPr>
        <w:ind w:left="5175" w:hanging="360"/>
      </w:pPr>
    </w:lvl>
    <w:lvl w:ilvl="7" w:tplc="1C090019" w:tentative="1">
      <w:start w:val="1"/>
      <w:numFmt w:val="lowerLetter"/>
      <w:lvlText w:val="%8."/>
      <w:lvlJc w:val="left"/>
      <w:pPr>
        <w:ind w:left="5895" w:hanging="360"/>
      </w:pPr>
    </w:lvl>
    <w:lvl w:ilvl="8" w:tplc="1C09001B" w:tentative="1">
      <w:start w:val="1"/>
      <w:numFmt w:val="lowerRoman"/>
      <w:lvlText w:val="%9."/>
      <w:lvlJc w:val="right"/>
      <w:pPr>
        <w:ind w:left="6615" w:hanging="180"/>
      </w:pPr>
    </w:lvl>
  </w:abstractNum>
  <w:abstractNum w:abstractNumId="4" w15:restartNumberingAfterBreak="0">
    <w:nsid w:val="600869F9"/>
    <w:multiLevelType w:val="hybridMultilevel"/>
    <w:tmpl w:val="1B7E2EEE"/>
    <w:lvl w:ilvl="0" w:tplc="FCB206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A15CB"/>
    <w:multiLevelType w:val="hybridMultilevel"/>
    <w:tmpl w:val="BEB24CC6"/>
    <w:lvl w:ilvl="0" w:tplc="2C52C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46"/>
    <w:rsid w:val="00056D6F"/>
    <w:rsid w:val="00196ADA"/>
    <w:rsid w:val="001E6246"/>
    <w:rsid w:val="00226C6F"/>
    <w:rsid w:val="002C16A6"/>
    <w:rsid w:val="002C3937"/>
    <w:rsid w:val="002D4EAE"/>
    <w:rsid w:val="00353084"/>
    <w:rsid w:val="003E54C2"/>
    <w:rsid w:val="0043220E"/>
    <w:rsid w:val="004D02F3"/>
    <w:rsid w:val="004E5548"/>
    <w:rsid w:val="00576220"/>
    <w:rsid w:val="00632FEF"/>
    <w:rsid w:val="00793E2D"/>
    <w:rsid w:val="00845ADE"/>
    <w:rsid w:val="00890A59"/>
    <w:rsid w:val="00893ECF"/>
    <w:rsid w:val="00944E61"/>
    <w:rsid w:val="00990251"/>
    <w:rsid w:val="009D6EA7"/>
    <w:rsid w:val="00AA422D"/>
    <w:rsid w:val="00AA6B0E"/>
    <w:rsid w:val="00BC3877"/>
    <w:rsid w:val="00F16BA6"/>
    <w:rsid w:val="00F8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1114"/>
  <w15:chartTrackingRefBased/>
  <w15:docId w15:val="{2336F16E-FD22-4ACC-AD05-BCBEEB0F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6246"/>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246"/>
    <w:rPr>
      <w:rFonts w:ascii="Arial" w:eastAsia="Times New Roman" w:hAnsi="Arial" w:cs="Times New Roman"/>
      <w:b/>
      <w:bCs/>
      <w:sz w:val="40"/>
      <w:szCs w:val="24"/>
      <w:lang w:val="en-GB"/>
    </w:rPr>
  </w:style>
  <w:style w:type="paragraph" w:styleId="Footer">
    <w:name w:val="footer"/>
    <w:basedOn w:val="Normal"/>
    <w:link w:val="FooterChar"/>
    <w:uiPriority w:val="99"/>
    <w:rsid w:val="001E624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E6246"/>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1E6246"/>
    <w:pPr>
      <w:spacing w:before="100" w:beforeAutospacing="1" w:after="100" w:afterAutospacing="1"/>
    </w:pPr>
  </w:style>
  <w:style w:type="table" w:customStyle="1" w:styleId="TableGrid1">
    <w:name w:val="Table Grid1"/>
    <w:basedOn w:val="TableNormal"/>
    <w:next w:val="TableGrid"/>
    <w:uiPriority w:val="59"/>
    <w:rsid w:val="001E6246"/>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6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6246"/>
    <w:pPr>
      <w:ind w:left="720"/>
      <w:contextualSpacing/>
    </w:pPr>
  </w:style>
  <w:style w:type="paragraph" w:styleId="BalloonText">
    <w:name w:val="Balloon Text"/>
    <w:basedOn w:val="Normal"/>
    <w:link w:val="BalloonTextChar"/>
    <w:uiPriority w:val="99"/>
    <w:semiHidden/>
    <w:unhideWhenUsed/>
    <w:rsid w:val="00944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E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2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Refentse Dithejane</dc:creator>
  <cp:keywords/>
  <dc:description/>
  <cp:lastModifiedBy>Thobani Matheza</cp:lastModifiedBy>
  <cp:revision>2</cp:revision>
  <cp:lastPrinted>2018-09-11T10:48:00Z</cp:lastPrinted>
  <dcterms:created xsi:type="dcterms:W3CDTF">2018-09-13T10:27:00Z</dcterms:created>
  <dcterms:modified xsi:type="dcterms:W3CDTF">2018-09-13T10:27:00Z</dcterms:modified>
</cp:coreProperties>
</file>