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E" w:rsidRPr="002575D4" w:rsidRDefault="002575D4" w:rsidP="002575D4">
      <w:pPr>
        <w:pStyle w:val="Heading1"/>
        <w:rPr>
          <w:sz w:val="20"/>
          <w:szCs w:val="20"/>
        </w:rPr>
      </w:pPr>
      <w:r w:rsidRPr="002575D4">
        <w:rPr>
          <w:sz w:val="20"/>
          <w:szCs w:val="20"/>
        </w:rPr>
        <w:t>NATIONAL ASSEMBLY</w:t>
      </w:r>
    </w:p>
    <w:p w:rsidR="00A7623E" w:rsidRPr="002575D4" w:rsidRDefault="002575D4" w:rsidP="002575D4">
      <w:pPr>
        <w:ind w:left="100" w:right="3764"/>
        <w:rPr>
          <w:b/>
          <w:sz w:val="20"/>
          <w:szCs w:val="20"/>
        </w:rPr>
      </w:pPr>
      <w:r w:rsidRPr="002575D4">
        <w:rPr>
          <w:b/>
          <w:sz w:val="20"/>
          <w:szCs w:val="20"/>
          <w:u w:val="thick"/>
        </w:rPr>
        <w:t>QUESTION NO. 2490-2021</w:t>
      </w:r>
      <w:r w:rsidRPr="002575D4">
        <w:rPr>
          <w:b/>
          <w:sz w:val="20"/>
          <w:szCs w:val="20"/>
        </w:rPr>
        <w:t xml:space="preserve"> </w:t>
      </w:r>
      <w:r w:rsidRPr="002575D4">
        <w:rPr>
          <w:b/>
          <w:sz w:val="20"/>
          <w:szCs w:val="20"/>
          <w:u w:val="thick"/>
        </w:rPr>
        <w:t>WRITTEN REPLY</w:t>
      </w:r>
    </w:p>
    <w:p w:rsidR="00A7623E" w:rsidRPr="002575D4" w:rsidRDefault="00A7623E" w:rsidP="002575D4">
      <w:pPr>
        <w:pStyle w:val="BodyText"/>
        <w:spacing w:before="0"/>
        <w:ind w:left="0"/>
        <w:jc w:val="left"/>
        <w:rPr>
          <w:b/>
          <w:sz w:val="20"/>
          <w:szCs w:val="20"/>
        </w:rPr>
      </w:pPr>
    </w:p>
    <w:p w:rsidR="00A7623E" w:rsidRPr="002575D4" w:rsidRDefault="002575D4" w:rsidP="002575D4">
      <w:pPr>
        <w:tabs>
          <w:tab w:val="left" w:pos="2000"/>
          <w:tab w:val="left" w:pos="3950"/>
          <w:tab w:val="left" w:pos="5336"/>
          <w:tab w:val="left" w:pos="7526"/>
          <w:tab w:val="left" w:pos="8679"/>
        </w:tabs>
        <w:ind w:left="100" w:right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INTERNAL QUESTION PAPER NO.27–2021, </w:t>
      </w:r>
      <w:r w:rsidRPr="002575D4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</w:t>
      </w:r>
      <w:r w:rsidRPr="002575D4">
        <w:rPr>
          <w:b/>
          <w:spacing w:val="-8"/>
          <w:sz w:val="20"/>
          <w:szCs w:val="20"/>
        </w:rPr>
        <w:t xml:space="preserve">OF </w:t>
      </w:r>
      <w:r w:rsidRPr="002575D4">
        <w:rPr>
          <w:b/>
          <w:sz w:val="20"/>
          <w:szCs w:val="20"/>
        </w:rPr>
        <w:t>PUBLICATION 19 NOVEMBER</w:t>
      </w:r>
      <w:r w:rsidRPr="002575D4">
        <w:rPr>
          <w:b/>
          <w:spacing w:val="-4"/>
          <w:sz w:val="20"/>
          <w:szCs w:val="20"/>
        </w:rPr>
        <w:t xml:space="preserve"> </w:t>
      </w:r>
      <w:r w:rsidRPr="002575D4">
        <w:rPr>
          <w:b/>
          <w:sz w:val="20"/>
          <w:szCs w:val="20"/>
        </w:rPr>
        <w:t>2021:</w:t>
      </w:r>
    </w:p>
    <w:p w:rsidR="002575D4" w:rsidRDefault="002575D4" w:rsidP="002575D4">
      <w:pPr>
        <w:ind w:left="100" w:right="488"/>
        <w:rPr>
          <w:b/>
          <w:sz w:val="20"/>
          <w:szCs w:val="20"/>
        </w:rPr>
      </w:pPr>
    </w:p>
    <w:p w:rsidR="00A7623E" w:rsidRPr="002575D4" w:rsidRDefault="002575D4" w:rsidP="002575D4">
      <w:pPr>
        <w:ind w:left="100" w:right="488"/>
        <w:rPr>
          <w:b/>
          <w:sz w:val="20"/>
          <w:szCs w:val="20"/>
        </w:rPr>
      </w:pPr>
      <w:proofErr w:type="spellStart"/>
      <w:r w:rsidRPr="002575D4">
        <w:rPr>
          <w:b/>
          <w:sz w:val="20"/>
          <w:szCs w:val="20"/>
        </w:rPr>
        <w:t>Mrs</w:t>
      </w:r>
      <w:proofErr w:type="spellEnd"/>
      <w:r w:rsidRPr="002575D4">
        <w:rPr>
          <w:b/>
          <w:sz w:val="20"/>
          <w:szCs w:val="20"/>
        </w:rPr>
        <w:t xml:space="preserve"> V van </w:t>
      </w:r>
      <w:proofErr w:type="spellStart"/>
      <w:r w:rsidRPr="002575D4">
        <w:rPr>
          <w:b/>
          <w:sz w:val="20"/>
          <w:szCs w:val="20"/>
        </w:rPr>
        <w:t>Dyk</w:t>
      </w:r>
      <w:proofErr w:type="spellEnd"/>
      <w:r w:rsidRPr="002575D4">
        <w:rPr>
          <w:b/>
          <w:sz w:val="20"/>
          <w:szCs w:val="20"/>
        </w:rPr>
        <w:t xml:space="preserve"> (DA) to ask the Minister of Sport, Arts and Culture:</w:t>
      </w:r>
    </w:p>
    <w:p w:rsidR="002575D4" w:rsidRDefault="002575D4" w:rsidP="002575D4">
      <w:pPr>
        <w:pStyle w:val="BodyText"/>
        <w:spacing w:before="0"/>
        <w:ind w:right="120"/>
        <w:jc w:val="left"/>
        <w:rPr>
          <w:sz w:val="20"/>
          <w:szCs w:val="20"/>
        </w:rPr>
      </w:pPr>
    </w:p>
    <w:p w:rsidR="00A7623E" w:rsidRPr="002575D4" w:rsidRDefault="002575D4" w:rsidP="002575D4">
      <w:pPr>
        <w:pStyle w:val="BodyText"/>
        <w:spacing w:before="0"/>
        <w:ind w:right="120"/>
        <w:jc w:val="left"/>
        <w:rPr>
          <w:sz w:val="20"/>
          <w:szCs w:val="20"/>
        </w:rPr>
      </w:pPr>
      <w:r w:rsidRPr="002575D4">
        <w:rPr>
          <w:sz w:val="20"/>
          <w:szCs w:val="20"/>
        </w:rPr>
        <w:t xml:space="preserve">Whether, given that the purpose of the State is to create and/or provide an enabling environment for cultural expression and the arts, he intends to commission a review of the Cultural Institutions Act, Act 119 of 1998, which denies funding to independent </w:t>
      </w:r>
      <w:r w:rsidRPr="002575D4">
        <w:rPr>
          <w:sz w:val="20"/>
          <w:szCs w:val="20"/>
        </w:rPr>
        <w:t>institutions that are not state-owned; if not, what is the position in this regard; if so, what are the relevant details NW2910E</w:t>
      </w:r>
    </w:p>
    <w:p w:rsidR="002575D4" w:rsidRDefault="002575D4" w:rsidP="002575D4">
      <w:pPr>
        <w:pStyle w:val="Heading1"/>
        <w:rPr>
          <w:sz w:val="20"/>
          <w:szCs w:val="20"/>
        </w:rPr>
      </w:pPr>
    </w:p>
    <w:p w:rsidR="00A7623E" w:rsidRPr="002575D4" w:rsidRDefault="002575D4" w:rsidP="002575D4">
      <w:pPr>
        <w:pStyle w:val="Heading1"/>
        <w:rPr>
          <w:sz w:val="20"/>
          <w:szCs w:val="20"/>
        </w:rPr>
      </w:pPr>
      <w:r w:rsidRPr="002575D4">
        <w:rPr>
          <w:sz w:val="20"/>
          <w:szCs w:val="20"/>
        </w:rPr>
        <w:t>REPLY</w:t>
      </w:r>
    </w:p>
    <w:p w:rsidR="002575D4" w:rsidRDefault="002575D4" w:rsidP="002575D4">
      <w:pPr>
        <w:pStyle w:val="BodyText"/>
        <w:spacing w:before="0"/>
        <w:ind w:right="117"/>
        <w:jc w:val="left"/>
        <w:rPr>
          <w:sz w:val="20"/>
          <w:szCs w:val="20"/>
        </w:rPr>
      </w:pPr>
    </w:p>
    <w:p w:rsidR="00A7623E" w:rsidRPr="002575D4" w:rsidRDefault="002575D4" w:rsidP="002575D4">
      <w:pPr>
        <w:pStyle w:val="BodyText"/>
        <w:spacing w:before="0"/>
        <w:ind w:right="117"/>
        <w:jc w:val="left"/>
        <w:rPr>
          <w:sz w:val="20"/>
          <w:szCs w:val="20"/>
        </w:rPr>
      </w:pPr>
      <w:r w:rsidRPr="002575D4">
        <w:rPr>
          <w:sz w:val="20"/>
          <w:szCs w:val="20"/>
        </w:rPr>
        <w:t>The Department is in the process of implementation of the Revised White Paper which requires that the relevant Line funct</w:t>
      </w:r>
      <w:r w:rsidRPr="002575D4">
        <w:rPr>
          <w:sz w:val="20"/>
          <w:szCs w:val="20"/>
        </w:rPr>
        <w:t>ion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in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the</w:t>
      </w:r>
      <w:r w:rsidRPr="002575D4">
        <w:rPr>
          <w:spacing w:val="-9"/>
          <w:sz w:val="20"/>
          <w:szCs w:val="20"/>
        </w:rPr>
        <w:t xml:space="preserve"> </w:t>
      </w:r>
      <w:r w:rsidRPr="002575D4">
        <w:rPr>
          <w:sz w:val="20"/>
          <w:szCs w:val="20"/>
        </w:rPr>
        <w:t>Department,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Entities</w:t>
      </w:r>
      <w:r w:rsidRPr="002575D4">
        <w:rPr>
          <w:spacing w:val="-9"/>
          <w:sz w:val="20"/>
          <w:szCs w:val="20"/>
        </w:rPr>
        <w:t xml:space="preserve"> </w:t>
      </w:r>
      <w:r w:rsidRPr="002575D4">
        <w:rPr>
          <w:sz w:val="20"/>
          <w:szCs w:val="20"/>
        </w:rPr>
        <w:t>Management</w:t>
      </w:r>
      <w:r w:rsidRPr="002575D4">
        <w:rPr>
          <w:spacing w:val="-6"/>
          <w:sz w:val="20"/>
          <w:szCs w:val="20"/>
        </w:rPr>
        <w:t xml:space="preserve"> </w:t>
      </w:r>
      <w:r w:rsidRPr="002575D4">
        <w:rPr>
          <w:sz w:val="20"/>
          <w:szCs w:val="20"/>
        </w:rPr>
        <w:t>Unit,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the</w:t>
      </w:r>
      <w:r w:rsidRPr="002575D4">
        <w:rPr>
          <w:spacing w:val="-9"/>
          <w:sz w:val="20"/>
          <w:szCs w:val="20"/>
        </w:rPr>
        <w:t xml:space="preserve"> </w:t>
      </w:r>
      <w:r w:rsidRPr="002575D4">
        <w:rPr>
          <w:sz w:val="20"/>
          <w:szCs w:val="20"/>
        </w:rPr>
        <w:t>Legal Services Unit and the Institution itself (Executive &amp; Board or Council</w:t>
      </w:r>
      <w:r w:rsidRPr="002575D4">
        <w:rPr>
          <w:spacing w:val="-17"/>
          <w:sz w:val="20"/>
          <w:szCs w:val="20"/>
        </w:rPr>
        <w:t xml:space="preserve"> </w:t>
      </w:r>
      <w:r w:rsidRPr="002575D4">
        <w:rPr>
          <w:sz w:val="20"/>
          <w:szCs w:val="20"/>
        </w:rPr>
        <w:t>of</w:t>
      </w:r>
      <w:r w:rsidRPr="002575D4">
        <w:rPr>
          <w:spacing w:val="-17"/>
          <w:sz w:val="20"/>
          <w:szCs w:val="20"/>
        </w:rPr>
        <w:t xml:space="preserve"> </w:t>
      </w:r>
      <w:r w:rsidRPr="002575D4">
        <w:rPr>
          <w:sz w:val="20"/>
          <w:szCs w:val="20"/>
        </w:rPr>
        <w:t>State</w:t>
      </w:r>
      <w:r w:rsidRPr="002575D4">
        <w:rPr>
          <w:spacing w:val="-16"/>
          <w:sz w:val="20"/>
          <w:szCs w:val="20"/>
        </w:rPr>
        <w:t xml:space="preserve"> </w:t>
      </w:r>
      <w:r w:rsidRPr="002575D4">
        <w:rPr>
          <w:sz w:val="20"/>
          <w:szCs w:val="20"/>
        </w:rPr>
        <w:t>Owned</w:t>
      </w:r>
      <w:r w:rsidRPr="002575D4">
        <w:rPr>
          <w:spacing w:val="-18"/>
          <w:sz w:val="20"/>
          <w:szCs w:val="20"/>
        </w:rPr>
        <w:t xml:space="preserve"> </w:t>
      </w:r>
      <w:r w:rsidRPr="002575D4">
        <w:rPr>
          <w:sz w:val="20"/>
          <w:szCs w:val="20"/>
        </w:rPr>
        <w:t>Entities)</w:t>
      </w:r>
      <w:r w:rsidRPr="002575D4">
        <w:rPr>
          <w:spacing w:val="-15"/>
          <w:sz w:val="20"/>
          <w:szCs w:val="20"/>
        </w:rPr>
        <w:t xml:space="preserve"> </w:t>
      </w:r>
      <w:r w:rsidRPr="002575D4">
        <w:rPr>
          <w:sz w:val="20"/>
          <w:szCs w:val="20"/>
        </w:rPr>
        <w:t>should</w:t>
      </w:r>
      <w:r w:rsidRPr="002575D4">
        <w:rPr>
          <w:spacing w:val="-17"/>
          <w:sz w:val="20"/>
          <w:szCs w:val="20"/>
        </w:rPr>
        <w:t xml:space="preserve"> </w:t>
      </w:r>
      <w:r w:rsidRPr="002575D4">
        <w:rPr>
          <w:sz w:val="20"/>
          <w:szCs w:val="20"/>
        </w:rPr>
        <w:t>meet</w:t>
      </w:r>
      <w:r w:rsidRPr="002575D4">
        <w:rPr>
          <w:spacing w:val="-16"/>
          <w:sz w:val="20"/>
          <w:szCs w:val="20"/>
        </w:rPr>
        <w:t xml:space="preserve"> </w:t>
      </w:r>
      <w:r w:rsidRPr="002575D4">
        <w:rPr>
          <w:sz w:val="20"/>
          <w:szCs w:val="20"/>
        </w:rPr>
        <w:t>and</w:t>
      </w:r>
      <w:r w:rsidRPr="002575D4">
        <w:rPr>
          <w:spacing w:val="-18"/>
          <w:sz w:val="20"/>
          <w:szCs w:val="20"/>
        </w:rPr>
        <w:t xml:space="preserve"> </w:t>
      </w:r>
      <w:r w:rsidRPr="002575D4">
        <w:rPr>
          <w:sz w:val="20"/>
          <w:szCs w:val="20"/>
        </w:rPr>
        <w:t>identify</w:t>
      </w:r>
      <w:r w:rsidRPr="002575D4">
        <w:rPr>
          <w:spacing w:val="-21"/>
          <w:sz w:val="20"/>
          <w:szCs w:val="20"/>
        </w:rPr>
        <w:t xml:space="preserve"> </w:t>
      </w:r>
      <w:r w:rsidRPr="002575D4">
        <w:rPr>
          <w:sz w:val="20"/>
          <w:szCs w:val="20"/>
        </w:rPr>
        <w:t>issues of</w:t>
      </w:r>
      <w:r w:rsidRPr="002575D4">
        <w:rPr>
          <w:spacing w:val="-13"/>
          <w:sz w:val="20"/>
          <w:szCs w:val="20"/>
        </w:rPr>
        <w:t xml:space="preserve"> </w:t>
      </w:r>
      <w:r w:rsidRPr="002575D4">
        <w:rPr>
          <w:sz w:val="20"/>
          <w:szCs w:val="20"/>
        </w:rPr>
        <w:t>substance</w:t>
      </w:r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that</w:t>
      </w:r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need</w:t>
      </w:r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to</w:t>
      </w:r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be</w:t>
      </w:r>
      <w:r w:rsidRPr="002575D4">
        <w:rPr>
          <w:spacing w:val="-13"/>
          <w:sz w:val="20"/>
          <w:szCs w:val="20"/>
        </w:rPr>
        <w:t xml:space="preserve"> </w:t>
      </w:r>
      <w:r w:rsidRPr="002575D4">
        <w:rPr>
          <w:sz w:val="20"/>
          <w:szCs w:val="20"/>
        </w:rPr>
        <w:t>addressed</w:t>
      </w:r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if</w:t>
      </w:r>
      <w:r w:rsidRPr="002575D4">
        <w:rPr>
          <w:spacing w:val="-14"/>
          <w:sz w:val="20"/>
          <w:szCs w:val="20"/>
        </w:rPr>
        <w:t xml:space="preserve"> </w:t>
      </w:r>
      <w:r w:rsidRPr="002575D4">
        <w:rPr>
          <w:sz w:val="20"/>
          <w:szCs w:val="20"/>
        </w:rPr>
        <w:t>legislation</w:t>
      </w:r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needs</w:t>
      </w:r>
      <w:r w:rsidRPr="002575D4">
        <w:rPr>
          <w:spacing w:val="-11"/>
          <w:sz w:val="20"/>
          <w:szCs w:val="20"/>
        </w:rPr>
        <w:t xml:space="preserve"> </w:t>
      </w:r>
      <w:r w:rsidRPr="002575D4">
        <w:rPr>
          <w:sz w:val="20"/>
          <w:szCs w:val="20"/>
        </w:rPr>
        <w:t>to</w:t>
      </w:r>
      <w:r w:rsidRPr="002575D4">
        <w:rPr>
          <w:spacing w:val="-13"/>
          <w:sz w:val="20"/>
          <w:szCs w:val="20"/>
        </w:rPr>
        <w:t xml:space="preserve"> </w:t>
      </w:r>
      <w:r w:rsidRPr="002575D4">
        <w:rPr>
          <w:sz w:val="20"/>
          <w:szCs w:val="20"/>
        </w:rPr>
        <w:t>be amended. Consultations with other stakeholders will follow afterwards including the ones scheduled by</w:t>
      </w:r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Parliament.</w:t>
      </w:r>
    </w:p>
    <w:p w:rsidR="00A7623E" w:rsidRPr="002575D4" w:rsidRDefault="002575D4" w:rsidP="002575D4">
      <w:pPr>
        <w:pStyle w:val="BodyText"/>
        <w:spacing w:before="0"/>
        <w:ind w:right="122"/>
        <w:jc w:val="left"/>
        <w:rPr>
          <w:sz w:val="20"/>
          <w:szCs w:val="20"/>
        </w:rPr>
      </w:pPr>
      <w:r w:rsidRPr="002575D4">
        <w:rPr>
          <w:sz w:val="20"/>
          <w:szCs w:val="20"/>
        </w:rPr>
        <w:t>The Department’s responsibility to create and/or provide an enabling environment for cultural expression and the arts with regard</w:t>
      </w:r>
      <w:r w:rsidRPr="002575D4">
        <w:rPr>
          <w:spacing w:val="-14"/>
          <w:sz w:val="20"/>
          <w:szCs w:val="20"/>
        </w:rPr>
        <w:t xml:space="preserve"> </w:t>
      </w:r>
      <w:r w:rsidRPr="002575D4">
        <w:rPr>
          <w:sz w:val="20"/>
          <w:szCs w:val="20"/>
        </w:rPr>
        <w:t>to</w:t>
      </w:r>
      <w:r w:rsidRPr="002575D4">
        <w:rPr>
          <w:spacing w:val="-14"/>
          <w:sz w:val="20"/>
          <w:szCs w:val="20"/>
        </w:rPr>
        <w:t xml:space="preserve"> </w:t>
      </w:r>
      <w:r w:rsidRPr="002575D4">
        <w:rPr>
          <w:sz w:val="20"/>
          <w:szCs w:val="20"/>
        </w:rPr>
        <w:t>indepe</w:t>
      </w:r>
      <w:r w:rsidRPr="002575D4">
        <w:rPr>
          <w:sz w:val="20"/>
          <w:szCs w:val="20"/>
        </w:rPr>
        <w:t>ndent</w:t>
      </w:r>
      <w:r w:rsidRPr="002575D4">
        <w:rPr>
          <w:spacing w:val="-13"/>
          <w:sz w:val="20"/>
          <w:szCs w:val="20"/>
        </w:rPr>
        <w:t xml:space="preserve"> </w:t>
      </w:r>
      <w:r w:rsidRPr="002575D4">
        <w:rPr>
          <w:sz w:val="20"/>
          <w:szCs w:val="20"/>
        </w:rPr>
        <w:t>institutions</w:t>
      </w:r>
      <w:r w:rsidRPr="002575D4">
        <w:rPr>
          <w:spacing w:val="-13"/>
          <w:sz w:val="20"/>
          <w:szCs w:val="20"/>
        </w:rPr>
        <w:t xml:space="preserve"> </w:t>
      </w:r>
      <w:r w:rsidRPr="002575D4">
        <w:rPr>
          <w:sz w:val="20"/>
          <w:szCs w:val="20"/>
        </w:rPr>
        <w:t>and</w:t>
      </w:r>
      <w:r w:rsidRPr="002575D4">
        <w:rPr>
          <w:spacing w:val="-14"/>
          <w:sz w:val="20"/>
          <w:szCs w:val="20"/>
        </w:rPr>
        <w:t xml:space="preserve"> </w:t>
      </w:r>
      <w:r w:rsidRPr="002575D4">
        <w:rPr>
          <w:sz w:val="20"/>
          <w:szCs w:val="20"/>
        </w:rPr>
        <w:t>any</w:t>
      </w:r>
      <w:r w:rsidRPr="002575D4">
        <w:rPr>
          <w:spacing w:val="-17"/>
          <w:sz w:val="20"/>
          <w:szCs w:val="20"/>
        </w:rPr>
        <w:t xml:space="preserve"> </w:t>
      </w:r>
      <w:r w:rsidRPr="002575D4">
        <w:rPr>
          <w:sz w:val="20"/>
          <w:szCs w:val="20"/>
        </w:rPr>
        <w:t>other</w:t>
      </w:r>
      <w:r w:rsidRPr="002575D4">
        <w:rPr>
          <w:spacing w:val="-15"/>
          <w:sz w:val="20"/>
          <w:szCs w:val="20"/>
        </w:rPr>
        <w:t xml:space="preserve"> </w:t>
      </w:r>
      <w:r w:rsidRPr="002575D4">
        <w:rPr>
          <w:sz w:val="20"/>
          <w:szCs w:val="20"/>
        </w:rPr>
        <w:t>institution</w:t>
      </w:r>
      <w:r w:rsidRPr="002575D4">
        <w:rPr>
          <w:spacing w:val="-14"/>
          <w:sz w:val="20"/>
          <w:szCs w:val="20"/>
        </w:rPr>
        <w:t xml:space="preserve"> </w:t>
      </w:r>
      <w:r w:rsidRPr="002575D4">
        <w:rPr>
          <w:sz w:val="20"/>
          <w:szCs w:val="20"/>
        </w:rPr>
        <w:t xml:space="preserve">within the cultural and creative space is being attended to through the process of development of the Cultural and Creative Industries Master Plan which is in the process being </w:t>
      </w:r>
      <w:proofErr w:type="spellStart"/>
      <w:r w:rsidRPr="002575D4">
        <w:rPr>
          <w:sz w:val="20"/>
          <w:szCs w:val="20"/>
        </w:rPr>
        <w:t>finalised</w:t>
      </w:r>
      <w:proofErr w:type="spellEnd"/>
      <w:r w:rsidRPr="002575D4">
        <w:rPr>
          <w:sz w:val="20"/>
          <w:szCs w:val="20"/>
        </w:rPr>
        <w:t xml:space="preserve"> and has started going th</w:t>
      </w:r>
      <w:r w:rsidRPr="002575D4">
        <w:rPr>
          <w:sz w:val="20"/>
          <w:szCs w:val="20"/>
        </w:rPr>
        <w:t>rough the structure of Cabinet for final endorsement. This is a blueprint strategic document</w:t>
      </w:r>
      <w:r w:rsidRPr="002575D4">
        <w:rPr>
          <w:spacing w:val="-9"/>
          <w:sz w:val="20"/>
          <w:szCs w:val="20"/>
        </w:rPr>
        <w:t xml:space="preserve"> </w:t>
      </w:r>
      <w:r w:rsidRPr="002575D4">
        <w:rPr>
          <w:sz w:val="20"/>
          <w:szCs w:val="20"/>
        </w:rPr>
        <w:t>aimed at</w:t>
      </w:r>
      <w:r>
        <w:rPr>
          <w:sz w:val="20"/>
          <w:szCs w:val="20"/>
        </w:rPr>
        <w:t xml:space="preserve"> </w:t>
      </w:r>
      <w:r w:rsidRPr="002575D4">
        <w:rPr>
          <w:sz w:val="20"/>
          <w:szCs w:val="20"/>
        </w:rPr>
        <w:t>creation</w:t>
      </w:r>
      <w:r w:rsidRPr="002575D4">
        <w:rPr>
          <w:spacing w:val="-9"/>
          <w:sz w:val="20"/>
          <w:szCs w:val="20"/>
        </w:rPr>
        <w:t xml:space="preserve"> </w:t>
      </w:r>
      <w:r w:rsidRPr="002575D4">
        <w:rPr>
          <w:sz w:val="20"/>
          <w:szCs w:val="20"/>
        </w:rPr>
        <w:t>of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a</w:t>
      </w:r>
      <w:r w:rsidRPr="002575D4">
        <w:rPr>
          <w:spacing w:val="-10"/>
          <w:sz w:val="20"/>
          <w:szCs w:val="20"/>
        </w:rPr>
        <w:t xml:space="preserve"> </w:t>
      </w:r>
      <w:proofErr w:type="gramStart"/>
      <w:r w:rsidRPr="002575D4">
        <w:rPr>
          <w:sz w:val="20"/>
          <w:szCs w:val="20"/>
        </w:rPr>
        <w:t>conducive</w:t>
      </w:r>
      <w:proofErr w:type="gramEnd"/>
      <w:r w:rsidRPr="002575D4">
        <w:rPr>
          <w:spacing w:val="-12"/>
          <w:sz w:val="20"/>
          <w:szCs w:val="20"/>
        </w:rPr>
        <w:t xml:space="preserve"> </w:t>
      </w:r>
      <w:r w:rsidRPr="002575D4">
        <w:rPr>
          <w:sz w:val="20"/>
          <w:szCs w:val="20"/>
        </w:rPr>
        <w:t>environment</w:t>
      </w:r>
      <w:r w:rsidRPr="002575D4">
        <w:rPr>
          <w:spacing w:val="-9"/>
          <w:sz w:val="20"/>
          <w:szCs w:val="20"/>
        </w:rPr>
        <w:t xml:space="preserve"> </w:t>
      </w:r>
      <w:r w:rsidRPr="002575D4">
        <w:rPr>
          <w:sz w:val="20"/>
          <w:szCs w:val="20"/>
        </w:rPr>
        <w:t>for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the</w:t>
      </w:r>
      <w:r w:rsidRPr="002575D4">
        <w:rPr>
          <w:spacing w:val="-8"/>
          <w:sz w:val="20"/>
          <w:szCs w:val="20"/>
        </w:rPr>
        <w:t xml:space="preserve"> </w:t>
      </w:r>
      <w:r w:rsidRPr="002575D4">
        <w:rPr>
          <w:sz w:val="20"/>
          <w:szCs w:val="20"/>
        </w:rPr>
        <w:t>industry</w:t>
      </w:r>
      <w:r w:rsidRPr="002575D4">
        <w:rPr>
          <w:spacing w:val="-9"/>
          <w:sz w:val="20"/>
          <w:szCs w:val="20"/>
        </w:rPr>
        <w:t xml:space="preserve"> </w:t>
      </w:r>
      <w:r w:rsidRPr="002575D4">
        <w:rPr>
          <w:sz w:val="20"/>
          <w:szCs w:val="20"/>
        </w:rPr>
        <w:t>to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grow</w:t>
      </w:r>
      <w:r w:rsidRPr="002575D4">
        <w:rPr>
          <w:spacing w:val="-10"/>
          <w:sz w:val="20"/>
          <w:szCs w:val="20"/>
        </w:rPr>
        <w:t xml:space="preserve"> </w:t>
      </w:r>
      <w:r w:rsidRPr="002575D4">
        <w:rPr>
          <w:sz w:val="20"/>
          <w:szCs w:val="20"/>
        </w:rPr>
        <w:t>and be</w:t>
      </w:r>
      <w:r w:rsidRPr="002575D4">
        <w:rPr>
          <w:spacing w:val="-2"/>
          <w:sz w:val="20"/>
          <w:szCs w:val="20"/>
        </w:rPr>
        <w:t xml:space="preserve"> </w:t>
      </w:r>
      <w:r w:rsidRPr="002575D4">
        <w:rPr>
          <w:sz w:val="20"/>
          <w:szCs w:val="20"/>
        </w:rPr>
        <w:t>self-sustainable.</w:t>
      </w:r>
    </w:p>
    <w:p w:rsidR="00A7623E" w:rsidRPr="002575D4" w:rsidRDefault="002575D4" w:rsidP="002575D4">
      <w:pPr>
        <w:pStyle w:val="BodyText"/>
        <w:spacing w:before="0"/>
        <w:ind w:right="119"/>
        <w:jc w:val="left"/>
        <w:rPr>
          <w:sz w:val="20"/>
          <w:szCs w:val="20"/>
        </w:rPr>
      </w:pPr>
      <w:r w:rsidRPr="002575D4">
        <w:rPr>
          <w:sz w:val="20"/>
          <w:szCs w:val="20"/>
        </w:rPr>
        <w:t>Over and above this; the Department is in the proces</w:t>
      </w:r>
      <w:r w:rsidRPr="002575D4">
        <w:rPr>
          <w:sz w:val="20"/>
          <w:szCs w:val="20"/>
        </w:rPr>
        <w:t>s of development</w:t>
      </w:r>
      <w:r w:rsidRPr="002575D4">
        <w:rPr>
          <w:spacing w:val="-20"/>
          <w:sz w:val="20"/>
          <w:szCs w:val="20"/>
        </w:rPr>
        <w:t xml:space="preserve"> </w:t>
      </w:r>
      <w:r w:rsidRPr="002575D4">
        <w:rPr>
          <w:sz w:val="20"/>
          <w:szCs w:val="20"/>
        </w:rPr>
        <w:t>of</w:t>
      </w:r>
      <w:r w:rsidRPr="002575D4">
        <w:rPr>
          <w:spacing w:val="-19"/>
          <w:sz w:val="20"/>
          <w:szCs w:val="20"/>
        </w:rPr>
        <w:t xml:space="preserve"> </w:t>
      </w:r>
      <w:r w:rsidRPr="002575D4">
        <w:rPr>
          <w:sz w:val="20"/>
          <w:szCs w:val="20"/>
        </w:rPr>
        <w:t>the</w:t>
      </w:r>
      <w:r w:rsidRPr="002575D4">
        <w:rPr>
          <w:spacing w:val="-19"/>
          <w:sz w:val="20"/>
          <w:szCs w:val="20"/>
        </w:rPr>
        <w:t xml:space="preserve"> </w:t>
      </w:r>
      <w:r w:rsidRPr="002575D4">
        <w:rPr>
          <w:sz w:val="20"/>
          <w:szCs w:val="20"/>
        </w:rPr>
        <w:t>theatre</w:t>
      </w:r>
      <w:r w:rsidRPr="002575D4">
        <w:rPr>
          <w:spacing w:val="-18"/>
          <w:sz w:val="20"/>
          <w:szCs w:val="20"/>
        </w:rPr>
        <w:t xml:space="preserve"> </w:t>
      </w:r>
      <w:r w:rsidRPr="002575D4">
        <w:rPr>
          <w:sz w:val="20"/>
          <w:szCs w:val="20"/>
        </w:rPr>
        <w:t>and</w:t>
      </w:r>
      <w:r w:rsidRPr="002575D4">
        <w:rPr>
          <w:spacing w:val="-19"/>
          <w:sz w:val="20"/>
          <w:szCs w:val="20"/>
        </w:rPr>
        <w:t xml:space="preserve"> </w:t>
      </w:r>
      <w:r w:rsidRPr="002575D4">
        <w:rPr>
          <w:sz w:val="20"/>
          <w:szCs w:val="20"/>
        </w:rPr>
        <w:t>dance</w:t>
      </w:r>
      <w:r w:rsidRPr="002575D4">
        <w:rPr>
          <w:spacing w:val="-17"/>
          <w:sz w:val="20"/>
          <w:szCs w:val="20"/>
        </w:rPr>
        <w:t xml:space="preserve"> </w:t>
      </w:r>
      <w:r w:rsidRPr="002575D4">
        <w:rPr>
          <w:sz w:val="20"/>
          <w:szCs w:val="20"/>
        </w:rPr>
        <w:t>policy;</w:t>
      </w:r>
      <w:r w:rsidRPr="002575D4">
        <w:rPr>
          <w:spacing w:val="-20"/>
          <w:sz w:val="20"/>
          <w:szCs w:val="20"/>
        </w:rPr>
        <w:t xml:space="preserve"> </w:t>
      </w:r>
      <w:r w:rsidRPr="002575D4">
        <w:rPr>
          <w:sz w:val="20"/>
          <w:szCs w:val="20"/>
        </w:rPr>
        <w:t>in</w:t>
      </w:r>
      <w:r w:rsidRPr="002575D4">
        <w:rPr>
          <w:spacing w:val="-19"/>
          <w:sz w:val="20"/>
          <w:szCs w:val="20"/>
        </w:rPr>
        <w:t xml:space="preserve"> </w:t>
      </w:r>
      <w:r w:rsidRPr="002575D4">
        <w:rPr>
          <w:sz w:val="20"/>
          <w:szCs w:val="20"/>
        </w:rPr>
        <w:t>consultation</w:t>
      </w:r>
      <w:r w:rsidRPr="002575D4">
        <w:rPr>
          <w:spacing w:val="-19"/>
          <w:sz w:val="20"/>
          <w:szCs w:val="20"/>
        </w:rPr>
        <w:t xml:space="preserve"> </w:t>
      </w:r>
      <w:r w:rsidRPr="002575D4">
        <w:rPr>
          <w:sz w:val="20"/>
          <w:szCs w:val="20"/>
        </w:rPr>
        <w:t>with representatives from the sector; who are part of the policy development. All of these interventions; amongst others are geared towards the same</w:t>
      </w:r>
      <w:r w:rsidRPr="002575D4">
        <w:rPr>
          <w:spacing w:val="-6"/>
          <w:sz w:val="20"/>
          <w:szCs w:val="20"/>
        </w:rPr>
        <w:t xml:space="preserve"> </w:t>
      </w:r>
      <w:r w:rsidRPr="002575D4">
        <w:rPr>
          <w:sz w:val="20"/>
          <w:szCs w:val="20"/>
        </w:rPr>
        <w:t>objective”.</w:t>
      </w:r>
    </w:p>
    <w:sectPr w:rsidR="00A7623E" w:rsidRPr="002575D4" w:rsidSect="00A7623E">
      <w:pgSz w:w="11910" w:h="16840"/>
      <w:pgMar w:top="134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623E"/>
    <w:rsid w:val="002575D4"/>
    <w:rsid w:val="00A7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23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7623E"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623E"/>
    <w:pPr>
      <w:spacing w:before="3"/>
      <w:ind w:left="100"/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A7623E"/>
  </w:style>
  <w:style w:type="paragraph" w:customStyle="1" w:styleId="TableParagraph">
    <w:name w:val="Table Paragraph"/>
    <w:basedOn w:val="Normal"/>
    <w:uiPriority w:val="1"/>
    <w:qFormat/>
    <w:rsid w:val="00A762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2022-01-18T14:08:00Z</dcterms:created>
  <dcterms:modified xsi:type="dcterms:W3CDTF">2022-01-18T14:42:00Z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