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3439"/>
        <w:rPr>
          <w:rFonts w:ascii="Times New Roman"/>
          <w:sz w:val="20"/>
        </w:rPr>
      </w:pPr>
      <w:r>
        <w:rPr>
          <w:rFonts w:ascii="Times New Roman"/>
          <w:sz w:val="20"/>
        </w:rPr>
        <w:drawing>
          <wp:inline distT="0" distB="0" distL="0" distR="0">
            <wp:extent cx="1330215" cy="1285875"/>
            <wp:effectExtent l="0" t="0" r="0" b="0"/>
            <wp:docPr id="1" name="image1.jpeg" descr="http://www.gov.za/3dcoatl.jp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1330215" cy="1285875"/>
                    </a:xfrm>
                    <a:prstGeom prst="rect">
                      <a:avLst/>
                    </a:prstGeom>
                  </pic:spPr>
                </pic:pic>
              </a:graphicData>
            </a:graphic>
          </wp:inline>
        </w:drawing>
      </w:r>
      <w:r>
        <w:rPr>
          <w:rFonts w:ascii="Times New Roman"/>
          <w:sz w:val="20"/>
        </w:rPr>
      </w:r>
    </w:p>
    <w:p>
      <w:pPr>
        <w:pStyle w:val="BodyText"/>
        <w:spacing w:before="8"/>
        <w:rPr>
          <w:rFonts w:ascii="Times New Roman"/>
          <w:sz w:val="16"/>
        </w:rPr>
      </w:pPr>
    </w:p>
    <w:p>
      <w:pPr>
        <w:spacing w:before="101"/>
        <w:ind w:left="3101" w:right="2923" w:hanging="447"/>
        <w:jc w:val="left"/>
        <w:rPr>
          <w:rFonts w:ascii="Tahoma"/>
          <w:b/>
          <w:sz w:val="22"/>
        </w:rPr>
      </w:pPr>
      <w:r>
        <w:rPr>
          <w:rFonts w:ascii="Tahoma"/>
          <w:b/>
          <w:sz w:val="22"/>
        </w:rPr>
        <w:t>DEPARTMENT: PUBLIC ENTERPRISES REPUBLIC OF SOUTH AFRICA</w:t>
      </w:r>
    </w:p>
    <w:p>
      <w:pPr>
        <w:spacing w:before="134"/>
        <w:ind w:left="3056" w:right="3037" w:firstLine="453"/>
        <w:jc w:val="left"/>
        <w:rPr>
          <w:rFonts w:ascii="Tahoma"/>
          <w:b/>
          <w:sz w:val="22"/>
        </w:rPr>
      </w:pPr>
      <w:r>
        <w:rPr>
          <w:rFonts w:ascii="Tahoma"/>
          <w:b/>
          <w:sz w:val="22"/>
        </w:rPr>
        <w:t>NATIONAL ASSEMBLY QUESTION FOR WRITTEN REPLY</w:t>
      </w:r>
    </w:p>
    <w:p>
      <w:pPr>
        <w:spacing w:line="265" w:lineRule="exact" w:before="0"/>
        <w:ind w:left="3457" w:right="0" w:firstLine="0"/>
        <w:jc w:val="left"/>
        <w:rPr>
          <w:rFonts w:ascii="Tahoma"/>
          <w:b/>
          <w:sz w:val="22"/>
        </w:rPr>
      </w:pPr>
      <w:r>
        <w:rPr>
          <w:rFonts w:ascii="Tahoma"/>
          <w:b/>
          <w:sz w:val="22"/>
        </w:rPr>
        <w:t>QUESTION NO.: PQ 2485</w:t>
      </w:r>
    </w:p>
    <w:p>
      <w:pPr>
        <w:pStyle w:val="BodyText"/>
        <w:rPr>
          <w:rFonts w:ascii="Tahoma"/>
          <w:b/>
          <w:sz w:val="26"/>
        </w:rPr>
      </w:pPr>
    </w:p>
    <w:p>
      <w:pPr>
        <w:pStyle w:val="BodyText"/>
        <w:spacing w:before="4"/>
        <w:rPr>
          <w:rFonts w:ascii="Tahoma"/>
          <w:b/>
          <w:sz w:val="25"/>
        </w:rPr>
      </w:pPr>
    </w:p>
    <w:p>
      <w:pPr>
        <w:spacing w:before="1"/>
        <w:ind w:left="115" w:right="0" w:firstLine="0"/>
        <w:jc w:val="left"/>
        <w:rPr>
          <w:b/>
          <w:sz w:val="22"/>
        </w:rPr>
      </w:pPr>
      <w:r>
        <w:rPr>
          <w:b/>
          <w:sz w:val="22"/>
          <w:u w:val="thick"/>
        </w:rPr>
        <w:t>QUESTION</w:t>
      </w:r>
      <w:r>
        <w:rPr>
          <w:b/>
          <w:sz w:val="22"/>
        </w:rPr>
        <w:t>:</w:t>
      </w:r>
    </w:p>
    <w:p>
      <w:pPr>
        <w:pStyle w:val="BodyText"/>
        <w:rPr>
          <w:b/>
          <w:sz w:val="22"/>
        </w:rPr>
      </w:pPr>
    </w:p>
    <w:p>
      <w:pPr>
        <w:pStyle w:val="Heading1"/>
      </w:pPr>
      <w:r>
        <w:rPr/>
        <w:t>2485. Mr E M Buthelezi (IFP) to ask the Minister of Public Enterprises:</w:t>
      </w:r>
    </w:p>
    <w:p>
      <w:pPr>
        <w:pStyle w:val="BodyText"/>
        <w:rPr>
          <w:b/>
          <w:sz w:val="29"/>
        </w:rPr>
      </w:pPr>
    </w:p>
    <w:p>
      <w:pPr>
        <w:pStyle w:val="ListParagraph"/>
        <w:numPr>
          <w:ilvl w:val="0"/>
          <w:numId w:val="1"/>
        </w:numPr>
        <w:tabs>
          <w:tab w:pos="1093" w:val="left" w:leader="none"/>
        </w:tabs>
        <w:spacing w:line="360" w:lineRule="auto" w:before="1" w:after="0"/>
        <w:ind w:left="1092" w:right="114" w:hanging="360"/>
        <w:jc w:val="both"/>
        <w:rPr>
          <w:sz w:val="24"/>
        </w:rPr>
      </w:pPr>
      <w:r>
        <w:rPr>
          <w:sz w:val="24"/>
        </w:rPr>
        <w:t>Whether he will furnish Mr E M Buthelezi with the relevant details of the current lack of consensus between his department and the Chief Executive Officer of Eskom on the way forward regarding Eskom’s R402 billion debt and the just transition to renewable energy; if not, what is the position in this regard; if so, (a) on what date and (b) what are the relevant</w:t>
      </w:r>
      <w:r>
        <w:rPr>
          <w:spacing w:val="-8"/>
          <w:sz w:val="24"/>
        </w:rPr>
        <w:t> </w:t>
      </w:r>
      <w:r>
        <w:rPr>
          <w:sz w:val="24"/>
        </w:rPr>
        <w:t>details;</w:t>
      </w:r>
    </w:p>
    <w:p>
      <w:pPr>
        <w:pStyle w:val="BodyText"/>
        <w:spacing w:before="4"/>
        <w:rPr>
          <w:sz w:val="25"/>
        </w:rPr>
      </w:pPr>
    </w:p>
    <w:p>
      <w:pPr>
        <w:pStyle w:val="ListParagraph"/>
        <w:numPr>
          <w:ilvl w:val="0"/>
          <w:numId w:val="1"/>
        </w:numPr>
        <w:tabs>
          <w:tab w:pos="1093" w:val="left" w:leader="none"/>
        </w:tabs>
        <w:spacing w:line="360" w:lineRule="auto" w:before="0" w:after="0"/>
        <w:ind w:left="1092" w:right="110" w:hanging="360"/>
        <w:jc w:val="both"/>
        <w:rPr>
          <w:sz w:val="24"/>
        </w:rPr>
      </w:pPr>
      <w:r>
        <w:rPr>
          <w:sz w:val="24"/>
        </w:rPr>
        <w:t>What</w:t>
      </w:r>
      <w:r>
        <w:rPr>
          <w:spacing w:val="-6"/>
          <w:sz w:val="24"/>
        </w:rPr>
        <w:t> </w:t>
      </w:r>
      <w:r>
        <w:rPr>
          <w:sz w:val="24"/>
        </w:rPr>
        <w:t>are</w:t>
      </w:r>
      <w:r>
        <w:rPr>
          <w:spacing w:val="-7"/>
          <w:sz w:val="24"/>
        </w:rPr>
        <w:t> </w:t>
      </w:r>
      <w:r>
        <w:rPr>
          <w:sz w:val="24"/>
        </w:rPr>
        <w:t>the</w:t>
      </w:r>
      <w:r>
        <w:rPr>
          <w:spacing w:val="-4"/>
          <w:sz w:val="24"/>
        </w:rPr>
        <w:t> </w:t>
      </w:r>
      <w:r>
        <w:rPr>
          <w:sz w:val="24"/>
        </w:rPr>
        <w:t>reasons</w:t>
      </w:r>
      <w:r>
        <w:rPr>
          <w:spacing w:val="-4"/>
          <w:sz w:val="24"/>
        </w:rPr>
        <w:t> </w:t>
      </w:r>
      <w:r>
        <w:rPr>
          <w:sz w:val="24"/>
        </w:rPr>
        <w:t>that</w:t>
      </w:r>
      <w:r>
        <w:rPr>
          <w:spacing w:val="-4"/>
          <w:sz w:val="24"/>
        </w:rPr>
        <w:t> </w:t>
      </w:r>
      <w:r>
        <w:rPr>
          <w:sz w:val="24"/>
        </w:rPr>
        <w:t>some</w:t>
      </w:r>
      <w:r>
        <w:rPr>
          <w:spacing w:val="-4"/>
          <w:sz w:val="24"/>
        </w:rPr>
        <w:t> </w:t>
      </w:r>
      <w:r>
        <w:rPr>
          <w:sz w:val="24"/>
        </w:rPr>
        <w:t>cases</w:t>
      </w:r>
      <w:r>
        <w:rPr>
          <w:spacing w:val="-4"/>
          <w:sz w:val="24"/>
        </w:rPr>
        <w:t> </w:t>
      </w:r>
      <w:r>
        <w:rPr>
          <w:sz w:val="24"/>
        </w:rPr>
        <w:t>of</w:t>
      </w:r>
      <w:r>
        <w:rPr>
          <w:spacing w:val="-4"/>
          <w:sz w:val="24"/>
        </w:rPr>
        <w:t> </w:t>
      </w:r>
      <w:r>
        <w:rPr>
          <w:sz w:val="24"/>
        </w:rPr>
        <w:t>irregular</w:t>
      </w:r>
      <w:r>
        <w:rPr>
          <w:spacing w:val="-5"/>
          <w:sz w:val="24"/>
        </w:rPr>
        <w:t> </w:t>
      </w:r>
      <w:r>
        <w:rPr>
          <w:sz w:val="24"/>
        </w:rPr>
        <w:t>and</w:t>
      </w:r>
      <w:r>
        <w:rPr>
          <w:spacing w:val="-6"/>
          <w:sz w:val="24"/>
        </w:rPr>
        <w:t> </w:t>
      </w:r>
      <w:r>
        <w:rPr>
          <w:sz w:val="24"/>
        </w:rPr>
        <w:t>fruitless</w:t>
      </w:r>
      <w:r>
        <w:rPr>
          <w:spacing w:val="-4"/>
          <w:sz w:val="24"/>
        </w:rPr>
        <w:t> </w:t>
      </w:r>
      <w:r>
        <w:rPr>
          <w:sz w:val="24"/>
        </w:rPr>
        <w:t>expenditure</w:t>
      </w:r>
      <w:r>
        <w:rPr>
          <w:spacing w:val="-6"/>
          <w:sz w:val="24"/>
        </w:rPr>
        <w:t> </w:t>
      </w:r>
      <w:r>
        <w:rPr>
          <w:sz w:val="24"/>
        </w:rPr>
        <w:t>from Eskom were not</w:t>
      </w:r>
      <w:r>
        <w:rPr>
          <w:spacing w:val="-2"/>
          <w:sz w:val="24"/>
        </w:rPr>
        <w:t> </w:t>
      </w:r>
      <w:r>
        <w:rPr>
          <w:sz w:val="24"/>
        </w:rPr>
        <w:t>investigated;</w:t>
      </w:r>
    </w:p>
    <w:p>
      <w:pPr>
        <w:pStyle w:val="BodyText"/>
        <w:spacing w:before="3"/>
        <w:rPr>
          <w:sz w:val="25"/>
        </w:rPr>
      </w:pPr>
    </w:p>
    <w:p>
      <w:pPr>
        <w:pStyle w:val="ListParagraph"/>
        <w:numPr>
          <w:ilvl w:val="0"/>
          <w:numId w:val="1"/>
        </w:numPr>
        <w:tabs>
          <w:tab w:pos="1093" w:val="left" w:leader="none"/>
        </w:tabs>
        <w:spacing w:line="240" w:lineRule="auto" w:before="0" w:after="0"/>
        <w:ind w:left="1092" w:right="0" w:hanging="361"/>
        <w:jc w:val="both"/>
        <w:rPr>
          <w:sz w:val="24"/>
        </w:rPr>
      </w:pPr>
      <w:r>
        <w:rPr>
          <w:sz w:val="24"/>
        </w:rPr>
        <w:t>What</w:t>
      </w:r>
      <w:r>
        <w:rPr>
          <w:spacing w:val="11"/>
          <w:sz w:val="24"/>
        </w:rPr>
        <w:t> </w:t>
      </w:r>
      <w:r>
        <w:rPr>
          <w:sz w:val="24"/>
        </w:rPr>
        <w:t>are</w:t>
      </w:r>
      <w:r>
        <w:rPr>
          <w:spacing w:val="15"/>
          <w:sz w:val="24"/>
        </w:rPr>
        <w:t> </w:t>
      </w:r>
      <w:r>
        <w:rPr>
          <w:sz w:val="24"/>
        </w:rPr>
        <w:t>the</w:t>
      </w:r>
      <w:r>
        <w:rPr>
          <w:spacing w:val="14"/>
          <w:sz w:val="24"/>
        </w:rPr>
        <w:t> </w:t>
      </w:r>
      <w:r>
        <w:rPr>
          <w:sz w:val="24"/>
        </w:rPr>
        <w:t>reasons</w:t>
      </w:r>
      <w:r>
        <w:rPr>
          <w:spacing w:val="11"/>
          <w:sz w:val="24"/>
        </w:rPr>
        <w:t> </w:t>
      </w:r>
      <w:r>
        <w:rPr>
          <w:sz w:val="24"/>
        </w:rPr>
        <w:t>that</w:t>
      </w:r>
      <w:r>
        <w:rPr>
          <w:spacing w:val="14"/>
          <w:sz w:val="24"/>
        </w:rPr>
        <w:t> </w:t>
      </w:r>
      <w:r>
        <w:rPr>
          <w:sz w:val="24"/>
        </w:rPr>
        <w:t>(a)</w:t>
      </w:r>
      <w:r>
        <w:rPr>
          <w:spacing w:val="15"/>
          <w:sz w:val="24"/>
        </w:rPr>
        <w:t> </w:t>
      </w:r>
      <w:r>
        <w:rPr>
          <w:sz w:val="24"/>
        </w:rPr>
        <w:t>Eskom</w:t>
      </w:r>
      <w:r>
        <w:rPr>
          <w:spacing w:val="15"/>
          <w:sz w:val="24"/>
        </w:rPr>
        <w:t> </w:t>
      </w:r>
      <w:r>
        <w:rPr>
          <w:sz w:val="24"/>
        </w:rPr>
        <w:t>has</w:t>
      </w:r>
      <w:r>
        <w:rPr>
          <w:spacing w:val="13"/>
          <w:sz w:val="24"/>
        </w:rPr>
        <w:t> </w:t>
      </w:r>
      <w:r>
        <w:rPr>
          <w:sz w:val="24"/>
        </w:rPr>
        <w:t>a</w:t>
      </w:r>
      <w:r>
        <w:rPr>
          <w:spacing w:val="14"/>
          <w:sz w:val="24"/>
        </w:rPr>
        <w:t> </w:t>
      </w:r>
      <w:r>
        <w:rPr>
          <w:sz w:val="24"/>
        </w:rPr>
        <w:t>culture</w:t>
      </w:r>
      <w:r>
        <w:rPr>
          <w:spacing w:val="13"/>
          <w:sz w:val="24"/>
        </w:rPr>
        <w:t> </w:t>
      </w:r>
      <w:r>
        <w:rPr>
          <w:sz w:val="24"/>
        </w:rPr>
        <w:t>of</w:t>
      </w:r>
      <w:r>
        <w:rPr>
          <w:spacing w:val="16"/>
          <w:sz w:val="24"/>
        </w:rPr>
        <w:t> </w:t>
      </w:r>
      <w:r>
        <w:rPr>
          <w:sz w:val="24"/>
        </w:rPr>
        <w:t>poor</w:t>
      </w:r>
      <w:r>
        <w:rPr>
          <w:spacing w:val="15"/>
          <w:sz w:val="24"/>
        </w:rPr>
        <w:t> </w:t>
      </w:r>
      <w:r>
        <w:rPr>
          <w:sz w:val="24"/>
        </w:rPr>
        <w:t>record</w:t>
      </w:r>
      <w:r>
        <w:rPr>
          <w:spacing w:val="14"/>
          <w:sz w:val="24"/>
        </w:rPr>
        <w:t> </w:t>
      </w:r>
      <w:r>
        <w:rPr>
          <w:sz w:val="24"/>
        </w:rPr>
        <w:t>keeping</w:t>
      </w:r>
      <w:r>
        <w:rPr>
          <w:spacing w:val="12"/>
          <w:sz w:val="24"/>
        </w:rPr>
        <w:t> </w:t>
      </w:r>
      <w:r>
        <w:rPr>
          <w:sz w:val="24"/>
        </w:rPr>
        <w:t>and</w:t>
      </w:r>
    </w:p>
    <w:p>
      <w:pPr>
        <w:pStyle w:val="BodyText"/>
        <w:spacing w:line="360" w:lineRule="auto" w:before="137"/>
        <w:ind w:left="1092" w:right="112"/>
        <w:jc w:val="both"/>
      </w:pPr>
      <w:r>
        <w:rPr/>
        <w:t>(b) consequence management and that no steps are being implemented to fight poor management in light of the entity recording R14,4 billion in 2020 and R11,6 billion in 2021 in irregular and fruitless expenditure?</w:t>
      </w:r>
    </w:p>
    <w:p>
      <w:pPr>
        <w:pStyle w:val="BodyText"/>
        <w:rPr>
          <w:sz w:val="26"/>
        </w:rPr>
      </w:pPr>
    </w:p>
    <w:p>
      <w:pPr>
        <w:pStyle w:val="BodyText"/>
        <w:spacing w:before="11"/>
        <w:rPr>
          <w:sz w:val="30"/>
        </w:rPr>
      </w:pPr>
    </w:p>
    <w:p>
      <w:pPr>
        <w:tabs>
          <w:tab w:pos="1272" w:val="left" w:leader="none"/>
        </w:tabs>
        <w:spacing w:before="0"/>
        <w:ind w:left="103" w:right="0" w:firstLine="0"/>
        <w:jc w:val="left"/>
        <w:rPr>
          <w:b/>
          <w:sz w:val="24"/>
        </w:rPr>
      </w:pPr>
      <w:r>
        <w:rPr>
          <w:b/>
          <w:sz w:val="24"/>
          <w:u w:val="thick"/>
        </w:rPr>
        <w:t>REPLY:</w:t>
        <w:tab/>
      </w:r>
    </w:p>
    <w:p>
      <w:pPr>
        <w:pStyle w:val="BodyText"/>
        <w:spacing w:before="11"/>
        <w:rPr>
          <w:b/>
        </w:rPr>
      </w:pPr>
    </w:p>
    <w:p>
      <w:pPr>
        <w:spacing w:before="92"/>
        <w:ind w:left="103" w:right="0" w:firstLine="0"/>
        <w:jc w:val="left"/>
        <w:rPr>
          <w:b/>
          <w:sz w:val="24"/>
        </w:rPr>
      </w:pPr>
      <w:r>
        <w:rPr>
          <w:b/>
          <w:sz w:val="24"/>
        </w:rPr>
        <w:t>According to the information received from Eskom</w:t>
      </w:r>
    </w:p>
    <w:p>
      <w:pPr>
        <w:pStyle w:val="BodyText"/>
        <w:spacing w:before="9"/>
        <w:rPr>
          <w:b/>
          <w:sz w:val="32"/>
        </w:rPr>
      </w:pPr>
    </w:p>
    <w:p>
      <w:pPr>
        <w:pStyle w:val="BodyText"/>
        <w:ind w:left="552"/>
        <w:jc w:val="both"/>
      </w:pPr>
      <w:r>
        <w:rPr/>
        <w:t>There is no misalignment between Eskom and the Shareholder Representative.</w:t>
      </w:r>
    </w:p>
    <w:p>
      <w:pPr>
        <w:pStyle w:val="BodyText"/>
        <w:spacing w:line="360" w:lineRule="auto" w:before="139"/>
        <w:ind w:left="283" w:right="110" w:firstLine="268"/>
        <w:jc w:val="both"/>
      </w:pPr>
      <w:r>
        <w:rPr/>
        <w:t>The solution on R 402 billion debt remains work in progress – parliament and other stakeholders will be informed of the strategy on the debt as soon as the necessary processes have been completed.</w:t>
      </w:r>
    </w:p>
    <w:p>
      <w:pPr>
        <w:pStyle w:val="BodyText"/>
        <w:spacing w:before="9"/>
        <w:rPr>
          <w:sz w:val="20"/>
        </w:rPr>
      </w:pPr>
    </w:p>
    <w:p>
      <w:pPr>
        <w:pStyle w:val="ListParagraph"/>
        <w:numPr>
          <w:ilvl w:val="0"/>
          <w:numId w:val="2"/>
        </w:numPr>
        <w:tabs>
          <w:tab w:pos="913" w:val="left" w:leader="none"/>
        </w:tabs>
        <w:spacing w:line="360" w:lineRule="auto" w:before="0" w:after="0"/>
        <w:ind w:left="912" w:right="112" w:hanging="360"/>
        <w:jc w:val="both"/>
        <w:rPr>
          <w:sz w:val="24"/>
        </w:rPr>
      </w:pPr>
      <w:r>
        <w:rPr>
          <w:sz w:val="24"/>
        </w:rPr>
        <w:t>A significant proportion of funding offered by the international partner group countries (the so-called USD 8.5 bn) is expected to be used for Eskom’s just transition plans. In particular, these funds will be utilised to support Eskom’s plans to repower and repurpose coal plants that are shutting down, with</w:t>
      </w:r>
      <w:r>
        <w:rPr>
          <w:spacing w:val="30"/>
          <w:sz w:val="24"/>
        </w:rPr>
        <w:t> </w:t>
      </w:r>
      <w:r>
        <w:rPr>
          <w:sz w:val="24"/>
        </w:rPr>
        <w:t>renewables,</w:t>
      </w:r>
    </w:p>
    <w:p>
      <w:pPr>
        <w:spacing w:after="0" w:line="360" w:lineRule="auto"/>
        <w:jc w:val="both"/>
        <w:rPr>
          <w:sz w:val="24"/>
        </w:rPr>
        <w:sectPr>
          <w:type w:val="continuous"/>
          <w:pgSz w:w="11910" w:h="16840"/>
          <w:pgMar w:top="700" w:bottom="0" w:left="1020" w:right="1160"/>
        </w:sectPr>
      </w:pPr>
    </w:p>
    <w:p>
      <w:pPr>
        <w:pStyle w:val="BodyText"/>
        <w:spacing w:line="360" w:lineRule="auto" w:before="79"/>
        <w:ind w:left="912"/>
      </w:pPr>
      <w:r>
        <w:rPr/>
        <w:t>battery storage and gas. This financing will not (and cannot) be used for financing the legacy coal debt. The DPE has been fully supportive of Eskom’s JET plans,</w:t>
      </w:r>
    </w:p>
    <w:p>
      <w:pPr>
        <w:pStyle w:val="BodyText"/>
        <w:spacing w:before="11"/>
        <w:rPr>
          <w:sz w:val="35"/>
        </w:rPr>
      </w:pPr>
    </w:p>
    <w:p>
      <w:pPr>
        <w:pStyle w:val="ListParagraph"/>
        <w:numPr>
          <w:ilvl w:val="0"/>
          <w:numId w:val="2"/>
        </w:numPr>
        <w:tabs>
          <w:tab w:pos="913" w:val="left" w:leader="none"/>
        </w:tabs>
        <w:spacing w:line="360" w:lineRule="auto" w:before="0" w:after="0"/>
        <w:ind w:left="912" w:right="111" w:hanging="360"/>
        <w:jc w:val="both"/>
        <w:rPr>
          <w:sz w:val="24"/>
        </w:rPr>
      </w:pPr>
      <w:r>
        <w:rPr>
          <w:sz w:val="24"/>
        </w:rPr>
        <w:t>including its renewable energy aspirations, and was part of the task team, coordinated by the Presidency between August-November 2021, that put together the plan accepted by the international lenders. Furthermore, to ensure alignment between</w:t>
      </w:r>
      <w:r>
        <w:rPr>
          <w:spacing w:val="-12"/>
          <w:sz w:val="24"/>
        </w:rPr>
        <w:t> </w:t>
      </w:r>
      <w:r>
        <w:rPr>
          <w:sz w:val="24"/>
        </w:rPr>
        <w:t>the</w:t>
      </w:r>
      <w:r>
        <w:rPr>
          <w:spacing w:val="-11"/>
          <w:sz w:val="24"/>
        </w:rPr>
        <w:t> </w:t>
      </w:r>
      <w:r>
        <w:rPr>
          <w:sz w:val="24"/>
        </w:rPr>
        <w:t>Eskom</w:t>
      </w:r>
      <w:r>
        <w:rPr>
          <w:spacing w:val="-10"/>
          <w:sz w:val="24"/>
        </w:rPr>
        <w:t> </w:t>
      </w:r>
      <w:r>
        <w:rPr>
          <w:sz w:val="24"/>
        </w:rPr>
        <w:t>JET</w:t>
      </w:r>
      <w:r>
        <w:rPr>
          <w:spacing w:val="-10"/>
          <w:sz w:val="24"/>
        </w:rPr>
        <w:t> </w:t>
      </w:r>
      <w:r>
        <w:rPr>
          <w:sz w:val="24"/>
        </w:rPr>
        <w:t>plans</w:t>
      </w:r>
      <w:r>
        <w:rPr>
          <w:spacing w:val="-12"/>
          <w:sz w:val="24"/>
        </w:rPr>
        <w:t> </w:t>
      </w:r>
      <w:r>
        <w:rPr>
          <w:sz w:val="24"/>
        </w:rPr>
        <w:t>and</w:t>
      </w:r>
      <w:r>
        <w:rPr>
          <w:spacing w:val="-11"/>
          <w:sz w:val="24"/>
        </w:rPr>
        <w:t> </w:t>
      </w:r>
      <w:r>
        <w:rPr>
          <w:sz w:val="24"/>
        </w:rPr>
        <w:t>the</w:t>
      </w:r>
      <w:r>
        <w:rPr>
          <w:spacing w:val="-11"/>
          <w:sz w:val="24"/>
        </w:rPr>
        <w:t> </w:t>
      </w:r>
      <w:r>
        <w:rPr>
          <w:sz w:val="24"/>
        </w:rPr>
        <w:t>DPE’s</w:t>
      </w:r>
      <w:r>
        <w:rPr>
          <w:spacing w:val="-15"/>
          <w:sz w:val="24"/>
        </w:rPr>
        <w:t> </w:t>
      </w:r>
      <w:r>
        <w:rPr>
          <w:sz w:val="24"/>
        </w:rPr>
        <w:t>JET</w:t>
      </w:r>
      <w:r>
        <w:rPr>
          <w:spacing w:val="-13"/>
          <w:sz w:val="24"/>
        </w:rPr>
        <w:t> </w:t>
      </w:r>
      <w:r>
        <w:rPr>
          <w:sz w:val="24"/>
        </w:rPr>
        <w:t>framework,</w:t>
      </w:r>
      <w:r>
        <w:rPr>
          <w:spacing w:val="-12"/>
          <w:sz w:val="24"/>
        </w:rPr>
        <w:t> </w:t>
      </w:r>
      <w:r>
        <w:rPr>
          <w:sz w:val="24"/>
        </w:rPr>
        <w:t>Eskom</w:t>
      </w:r>
      <w:r>
        <w:rPr>
          <w:spacing w:val="-10"/>
          <w:sz w:val="24"/>
        </w:rPr>
        <w:t> </w:t>
      </w:r>
      <w:r>
        <w:rPr>
          <w:sz w:val="24"/>
        </w:rPr>
        <w:t>and</w:t>
      </w:r>
      <w:r>
        <w:rPr>
          <w:spacing w:val="-11"/>
          <w:sz w:val="24"/>
        </w:rPr>
        <w:t> </w:t>
      </w:r>
      <w:r>
        <w:rPr>
          <w:sz w:val="24"/>
        </w:rPr>
        <w:t>the</w:t>
      </w:r>
      <w:r>
        <w:rPr>
          <w:spacing w:val="-11"/>
          <w:sz w:val="24"/>
        </w:rPr>
        <w:t> </w:t>
      </w:r>
      <w:r>
        <w:rPr>
          <w:sz w:val="24"/>
        </w:rPr>
        <w:t>DPE have a regular monthly meeting between the relevant</w:t>
      </w:r>
      <w:r>
        <w:rPr>
          <w:spacing w:val="-5"/>
          <w:sz w:val="24"/>
        </w:rPr>
        <w:t> </w:t>
      </w:r>
      <w:r>
        <w:rPr>
          <w:sz w:val="24"/>
        </w:rPr>
        <w:t>teams.</w:t>
      </w:r>
    </w:p>
    <w:p>
      <w:pPr>
        <w:pStyle w:val="BodyText"/>
        <w:rPr>
          <w:sz w:val="36"/>
        </w:rPr>
      </w:pPr>
    </w:p>
    <w:p>
      <w:pPr>
        <w:pStyle w:val="ListParagraph"/>
        <w:numPr>
          <w:ilvl w:val="0"/>
          <w:numId w:val="2"/>
        </w:numPr>
        <w:tabs>
          <w:tab w:pos="913" w:val="left" w:leader="none"/>
        </w:tabs>
        <w:spacing w:line="360" w:lineRule="auto" w:before="0" w:after="0"/>
        <w:ind w:left="912" w:right="113" w:hanging="360"/>
        <w:jc w:val="both"/>
        <w:rPr>
          <w:sz w:val="24"/>
        </w:rPr>
      </w:pPr>
      <w:r>
        <w:rPr>
          <w:sz w:val="24"/>
        </w:rPr>
        <w:t>Eskom’s Loss Control function was established in 1 April 2021. Management is working with the business to ensure that all possible PFMA items are registered with the Loss Control function for assessment and determination. Once a determination</w:t>
      </w:r>
      <w:r>
        <w:rPr>
          <w:spacing w:val="-16"/>
          <w:sz w:val="24"/>
        </w:rPr>
        <w:t> </w:t>
      </w:r>
      <w:r>
        <w:rPr>
          <w:sz w:val="24"/>
        </w:rPr>
        <w:t>is</w:t>
      </w:r>
      <w:r>
        <w:rPr>
          <w:spacing w:val="-15"/>
          <w:sz w:val="24"/>
        </w:rPr>
        <w:t> </w:t>
      </w:r>
      <w:r>
        <w:rPr>
          <w:sz w:val="24"/>
        </w:rPr>
        <w:t>completed,</w:t>
      </w:r>
      <w:r>
        <w:rPr>
          <w:spacing w:val="-16"/>
          <w:sz w:val="24"/>
        </w:rPr>
        <w:t> </w:t>
      </w:r>
      <w:r>
        <w:rPr>
          <w:sz w:val="24"/>
        </w:rPr>
        <w:t>and</w:t>
      </w:r>
      <w:r>
        <w:rPr>
          <w:spacing w:val="-16"/>
          <w:sz w:val="24"/>
        </w:rPr>
        <w:t> </w:t>
      </w:r>
      <w:r>
        <w:rPr>
          <w:sz w:val="24"/>
        </w:rPr>
        <w:t>if</w:t>
      </w:r>
      <w:r>
        <w:rPr>
          <w:spacing w:val="-13"/>
          <w:sz w:val="24"/>
        </w:rPr>
        <w:t> </w:t>
      </w:r>
      <w:r>
        <w:rPr>
          <w:sz w:val="24"/>
        </w:rPr>
        <w:t>any</w:t>
      </w:r>
      <w:r>
        <w:rPr>
          <w:spacing w:val="-17"/>
          <w:sz w:val="24"/>
        </w:rPr>
        <w:t> </w:t>
      </w:r>
      <w:r>
        <w:rPr>
          <w:sz w:val="24"/>
        </w:rPr>
        <w:t>indication</w:t>
      </w:r>
      <w:r>
        <w:rPr>
          <w:spacing w:val="-16"/>
          <w:sz w:val="24"/>
        </w:rPr>
        <w:t> </w:t>
      </w:r>
      <w:r>
        <w:rPr>
          <w:sz w:val="24"/>
        </w:rPr>
        <w:t>of</w:t>
      </w:r>
      <w:r>
        <w:rPr>
          <w:spacing w:val="-17"/>
          <w:sz w:val="24"/>
        </w:rPr>
        <w:t> </w:t>
      </w:r>
      <w:r>
        <w:rPr>
          <w:sz w:val="24"/>
        </w:rPr>
        <w:t>fraudulent</w:t>
      </w:r>
      <w:r>
        <w:rPr>
          <w:spacing w:val="-16"/>
          <w:sz w:val="24"/>
        </w:rPr>
        <w:t> </w:t>
      </w:r>
      <w:r>
        <w:rPr>
          <w:sz w:val="24"/>
        </w:rPr>
        <w:t>activities</w:t>
      </w:r>
      <w:r>
        <w:rPr>
          <w:spacing w:val="-14"/>
          <w:sz w:val="24"/>
        </w:rPr>
        <w:t> </w:t>
      </w:r>
      <w:r>
        <w:rPr>
          <w:sz w:val="24"/>
        </w:rPr>
        <w:t>is</w:t>
      </w:r>
      <w:r>
        <w:rPr>
          <w:spacing w:val="-14"/>
          <w:sz w:val="24"/>
        </w:rPr>
        <w:t> </w:t>
      </w:r>
      <w:r>
        <w:rPr>
          <w:sz w:val="24"/>
        </w:rPr>
        <w:t>identified, only</w:t>
      </w:r>
      <w:r>
        <w:rPr>
          <w:spacing w:val="-11"/>
          <w:sz w:val="24"/>
        </w:rPr>
        <w:t> </w:t>
      </w:r>
      <w:r>
        <w:rPr>
          <w:sz w:val="24"/>
        </w:rPr>
        <w:t>then</w:t>
      </w:r>
      <w:r>
        <w:rPr>
          <w:spacing w:val="-8"/>
          <w:sz w:val="24"/>
        </w:rPr>
        <w:t> </w:t>
      </w:r>
      <w:r>
        <w:rPr>
          <w:sz w:val="24"/>
        </w:rPr>
        <w:t>is</w:t>
      </w:r>
      <w:r>
        <w:rPr>
          <w:spacing w:val="-7"/>
          <w:sz w:val="24"/>
        </w:rPr>
        <w:t> </w:t>
      </w:r>
      <w:r>
        <w:rPr>
          <w:sz w:val="24"/>
        </w:rPr>
        <w:t>it</w:t>
      </w:r>
      <w:r>
        <w:rPr>
          <w:spacing w:val="-7"/>
          <w:sz w:val="24"/>
        </w:rPr>
        <w:t> </w:t>
      </w:r>
      <w:r>
        <w:rPr>
          <w:sz w:val="24"/>
        </w:rPr>
        <w:t>referred</w:t>
      </w:r>
      <w:r>
        <w:rPr>
          <w:spacing w:val="-8"/>
          <w:sz w:val="24"/>
        </w:rPr>
        <w:t> </w:t>
      </w:r>
      <w:r>
        <w:rPr>
          <w:sz w:val="24"/>
        </w:rPr>
        <w:t>to</w:t>
      </w:r>
      <w:r>
        <w:rPr>
          <w:spacing w:val="-6"/>
          <w:sz w:val="24"/>
        </w:rPr>
        <w:t> </w:t>
      </w:r>
      <w:r>
        <w:rPr>
          <w:sz w:val="24"/>
        </w:rPr>
        <w:t>the</w:t>
      </w:r>
      <w:r>
        <w:rPr>
          <w:spacing w:val="-7"/>
          <w:sz w:val="24"/>
        </w:rPr>
        <w:t> </w:t>
      </w:r>
      <w:r>
        <w:rPr>
          <w:sz w:val="24"/>
        </w:rPr>
        <w:t>Assurance</w:t>
      </w:r>
      <w:r>
        <w:rPr>
          <w:spacing w:val="-6"/>
          <w:sz w:val="24"/>
        </w:rPr>
        <w:t> </w:t>
      </w:r>
      <w:r>
        <w:rPr>
          <w:sz w:val="24"/>
        </w:rPr>
        <w:t>and</w:t>
      </w:r>
      <w:r>
        <w:rPr>
          <w:spacing w:val="-8"/>
          <w:sz w:val="24"/>
        </w:rPr>
        <w:t> </w:t>
      </w:r>
      <w:r>
        <w:rPr>
          <w:sz w:val="24"/>
        </w:rPr>
        <w:t>Forensic</w:t>
      </w:r>
      <w:r>
        <w:rPr>
          <w:spacing w:val="-7"/>
          <w:sz w:val="24"/>
        </w:rPr>
        <w:t> </w:t>
      </w:r>
      <w:r>
        <w:rPr>
          <w:sz w:val="24"/>
        </w:rPr>
        <w:t>Department</w:t>
      </w:r>
      <w:r>
        <w:rPr>
          <w:spacing w:val="-9"/>
          <w:sz w:val="24"/>
        </w:rPr>
        <w:t> </w:t>
      </w:r>
      <w:r>
        <w:rPr>
          <w:sz w:val="24"/>
        </w:rPr>
        <w:t>for</w:t>
      </w:r>
      <w:r>
        <w:rPr>
          <w:spacing w:val="-7"/>
          <w:sz w:val="24"/>
        </w:rPr>
        <w:t> </w:t>
      </w:r>
      <w:r>
        <w:rPr>
          <w:sz w:val="24"/>
        </w:rPr>
        <w:t>investigation. However, the Assurance and Forensic environment has limited resources and is currently in the process of being capacitated to deal with the work</w:t>
      </w:r>
      <w:r>
        <w:rPr>
          <w:spacing w:val="-14"/>
          <w:sz w:val="24"/>
        </w:rPr>
        <w:t> </w:t>
      </w:r>
      <w:r>
        <w:rPr>
          <w:sz w:val="24"/>
        </w:rPr>
        <w:t>load.</w:t>
      </w:r>
    </w:p>
    <w:p>
      <w:pPr>
        <w:pStyle w:val="BodyText"/>
        <w:spacing w:before="2"/>
      </w:pPr>
    </w:p>
    <w:p>
      <w:pPr>
        <w:pStyle w:val="BodyText"/>
        <w:spacing w:line="360" w:lineRule="auto"/>
        <w:ind w:left="1183" w:right="111" w:hanging="632"/>
        <w:jc w:val="both"/>
      </w:pPr>
      <w:r>
        <w:rPr/>
        <w:t>(3)(a)</w:t>
      </w:r>
      <w:r>
        <w:rPr>
          <w:spacing w:val="-10"/>
        </w:rPr>
        <w:t> </w:t>
      </w:r>
      <w:r>
        <w:rPr/>
        <w:t>Eskom</w:t>
      </w:r>
      <w:r>
        <w:rPr>
          <w:spacing w:val="-7"/>
        </w:rPr>
        <w:t> </w:t>
      </w:r>
      <w:r>
        <w:rPr/>
        <w:t>does</w:t>
      </w:r>
      <w:r>
        <w:rPr>
          <w:spacing w:val="-9"/>
        </w:rPr>
        <w:t> </w:t>
      </w:r>
      <w:r>
        <w:rPr/>
        <w:t>not</w:t>
      </w:r>
      <w:r>
        <w:rPr>
          <w:spacing w:val="-10"/>
        </w:rPr>
        <w:t> </w:t>
      </w:r>
      <w:r>
        <w:rPr/>
        <w:t>have</w:t>
      </w:r>
      <w:r>
        <w:rPr>
          <w:spacing w:val="-8"/>
        </w:rPr>
        <w:t> </w:t>
      </w:r>
      <w:r>
        <w:rPr/>
        <w:t>a</w:t>
      </w:r>
      <w:r>
        <w:rPr>
          <w:spacing w:val="-7"/>
        </w:rPr>
        <w:t> </w:t>
      </w:r>
      <w:r>
        <w:rPr/>
        <w:t>fully-automated</w:t>
      </w:r>
      <w:r>
        <w:rPr>
          <w:spacing w:val="-11"/>
        </w:rPr>
        <w:t> </w:t>
      </w:r>
      <w:r>
        <w:rPr/>
        <w:t>record-keeping</w:t>
      </w:r>
      <w:r>
        <w:rPr>
          <w:spacing w:val="-9"/>
        </w:rPr>
        <w:t> </w:t>
      </w:r>
      <w:r>
        <w:rPr/>
        <w:t>system,</w:t>
      </w:r>
      <w:r>
        <w:rPr>
          <w:spacing w:val="-8"/>
        </w:rPr>
        <w:t> </w:t>
      </w:r>
      <w:r>
        <w:rPr/>
        <w:t>and</w:t>
      </w:r>
      <w:r>
        <w:rPr>
          <w:spacing w:val="-8"/>
        </w:rPr>
        <w:t> </w:t>
      </w:r>
      <w:r>
        <w:rPr/>
        <w:t>as</w:t>
      </w:r>
      <w:r>
        <w:rPr>
          <w:spacing w:val="-8"/>
        </w:rPr>
        <w:t> </w:t>
      </w:r>
      <w:r>
        <w:rPr/>
        <w:t>a</w:t>
      </w:r>
      <w:r>
        <w:rPr>
          <w:spacing w:val="-8"/>
        </w:rPr>
        <w:t> </w:t>
      </w:r>
      <w:r>
        <w:rPr/>
        <w:t>result, records,</w:t>
      </w:r>
      <w:r>
        <w:rPr>
          <w:spacing w:val="-12"/>
        </w:rPr>
        <w:t> </w:t>
      </w:r>
      <w:r>
        <w:rPr/>
        <w:t>were</w:t>
      </w:r>
      <w:r>
        <w:rPr>
          <w:spacing w:val="-12"/>
        </w:rPr>
        <w:t> </w:t>
      </w:r>
      <w:r>
        <w:rPr/>
        <w:t>and</w:t>
      </w:r>
      <w:r>
        <w:rPr>
          <w:spacing w:val="-12"/>
        </w:rPr>
        <w:t> </w:t>
      </w:r>
      <w:r>
        <w:rPr/>
        <w:t>are</w:t>
      </w:r>
      <w:r>
        <w:rPr>
          <w:spacing w:val="-12"/>
        </w:rPr>
        <w:t> </w:t>
      </w:r>
      <w:r>
        <w:rPr/>
        <w:t>,maintained</w:t>
      </w:r>
      <w:r>
        <w:rPr>
          <w:spacing w:val="-13"/>
        </w:rPr>
        <w:t> </w:t>
      </w:r>
      <w:r>
        <w:rPr/>
        <w:t>manually.</w:t>
      </w:r>
      <w:r>
        <w:rPr>
          <w:spacing w:val="-12"/>
        </w:rPr>
        <w:t> </w:t>
      </w:r>
      <w:r>
        <w:rPr/>
        <w:t>During</w:t>
      </w:r>
      <w:r>
        <w:rPr>
          <w:spacing w:val="-14"/>
        </w:rPr>
        <w:t> </w:t>
      </w:r>
      <w:r>
        <w:rPr/>
        <w:t>our</w:t>
      </w:r>
      <w:r>
        <w:rPr>
          <w:spacing w:val="-12"/>
        </w:rPr>
        <w:t> </w:t>
      </w:r>
      <w:r>
        <w:rPr/>
        <w:t>annual</w:t>
      </w:r>
      <w:r>
        <w:rPr>
          <w:spacing w:val="-13"/>
        </w:rPr>
        <w:t> </w:t>
      </w:r>
      <w:r>
        <w:rPr/>
        <w:t>audit</w:t>
      </w:r>
      <w:r>
        <w:rPr>
          <w:spacing w:val="-11"/>
        </w:rPr>
        <w:t> </w:t>
      </w:r>
      <w:r>
        <w:rPr/>
        <w:t>processes, there are limited audit turnaround times which are not always adhered to. However, Eskom is focusing on addressing the automation</w:t>
      </w:r>
      <w:r>
        <w:rPr>
          <w:spacing w:val="-7"/>
        </w:rPr>
        <w:t> </w:t>
      </w:r>
      <w:r>
        <w:rPr/>
        <w:t>issue.</w:t>
      </w:r>
    </w:p>
    <w:p>
      <w:pPr>
        <w:pStyle w:val="BodyText"/>
        <w:spacing w:line="360" w:lineRule="auto" w:before="1"/>
        <w:ind w:left="1183" w:right="109" w:hanging="632"/>
        <w:jc w:val="both"/>
      </w:pPr>
      <w:r>
        <w:rPr/>
        <w:t>(3)(b) </w:t>
      </w:r>
      <w:r>
        <w:rPr>
          <w:spacing w:val="4"/>
        </w:rPr>
        <w:t>We </w:t>
      </w:r>
      <w:r>
        <w:rPr/>
        <w:t>acknowledge the fact that at times it takes long to finalise some matters. This is mainly due to the complexity of the matters and the shortage of internal capacity to deal with the volumes of disciplinary actions. The process </w:t>
      </w:r>
      <w:r>
        <w:rPr>
          <w:spacing w:val="-3"/>
        </w:rPr>
        <w:t>to </w:t>
      </w:r>
      <w:r>
        <w:rPr/>
        <w:t>outsource</w:t>
      </w:r>
      <w:r>
        <w:rPr>
          <w:spacing w:val="-14"/>
        </w:rPr>
        <w:t> </w:t>
      </w:r>
      <w:r>
        <w:rPr/>
        <w:t>some</w:t>
      </w:r>
      <w:r>
        <w:rPr>
          <w:spacing w:val="-13"/>
        </w:rPr>
        <w:t> </w:t>
      </w:r>
      <w:r>
        <w:rPr/>
        <w:t>of</w:t>
      </w:r>
      <w:r>
        <w:rPr>
          <w:spacing w:val="-14"/>
        </w:rPr>
        <w:t> </w:t>
      </w:r>
      <w:r>
        <w:rPr/>
        <w:t>these</w:t>
      </w:r>
      <w:r>
        <w:rPr>
          <w:spacing w:val="-13"/>
        </w:rPr>
        <w:t> </w:t>
      </w:r>
      <w:r>
        <w:rPr/>
        <w:t>matters</w:t>
      </w:r>
      <w:r>
        <w:rPr>
          <w:spacing w:val="-15"/>
        </w:rPr>
        <w:t> </w:t>
      </w:r>
      <w:r>
        <w:rPr/>
        <w:t>is</w:t>
      </w:r>
      <w:r>
        <w:rPr>
          <w:spacing w:val="-14"/>
        </w:rPr>
        <w:t> </w:t>
      </w:r>
      <w:r>
        <w:rPr/>
        <w:t>rigid</w:t>
      </w:r>
      <w:r>
        <w:rPr>
          <w:spacing w:val="-13"/>
        </w:rPr>
        <w:t> </w:t>
      </w:r>
      <w:r>
        <w:rPr/>
        <w:t>due</w:t>
      </w:r>
      <w:r>
        <w:rPr>
          <w:spacing w:val="-13"/>
        </w:rPr>
        <w:t> </w:t>
      </w:r>
      <w:r>
        <w:rPr/>
        <w:t>to</w:t>
      </w:r>
      <w:r>
        <w:rPr>
          <w:spacing w:val="-13"/>
        </w:rPr>
        <w:t> </w:t>
      </w:r>
      <w:r>
        <w:rPr/>
        <w:t>the</w:t>
      </w:r>
      <w:r>
        <w:rPr>
          <w:spacing w:val="-13"/>
        </w:rPr>
        <w:t> </w:t>
      </w:r>
      <w:r>
        <w:rPr/>
        <w:t>governance</w:t>
      </w:r>
      <w:r>
        <w:rPr>
          <w:spacing w:val="-15"/>
        </w:rPr>
        <w:t> </w:t>
      </w:r>
      <w:r>
        <w:rPr/>
        <w:t>process</w:t>
      </w:r>
      <w:r>
        <w:rPr>
          <w:spacing w:val="-14"/>
        </w:rPr>
        <w:t> </w:t>
      </w:r>
      <w:r>
        <w:rPr/>
        <w:t>required by National Treasury. This notwithstanding, there has been significant progress made in addressing these</w:t>
      </w:r>
      <w:r>
        <w:rPr>
          <w:spacing w:val="-6"/>
        </w:rPr>
        <w:t> </w:t>
      </w:r>
      <w:r>
        <w:rPr/>
        <w:t>matters.</w:t>
      </w:r>
    </w:p>
    <w:sectPr>
      <w:pgSz w:w="11910" w:h="16840"/>
      <w:pgMar w:top="260" w:bottom="280" w:left="1020" w:right="11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Tahoma">
    <w:altName w:val="Tahoma"/>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1"/>
      <w:numFmt w:val="decimal"/>
      <w:lvlText w:val="(%1)"/>
      <w:lvlJc w:val="left"/>
      <w:pPr>
        <w:ind w:left="912" w:hanging="360"/>
        <w:jc w:val="left"/>
      </w:pPr>
      <w:rPr>
        <w:rFonts w:hint="default" w:ascii="Arial" w:hAnsi="Arial" w:eastAsia="Arial" w:cs="Arial"/>
        <w:w w:val="99"/>
        <w:sz w:val="24"/>
        <w:szCs w:val="24"/>
        <w:lang w:val="en-US" w:eastAsia="en-US" w:bidi="en-US"/>
      </w:rPr>
    </w:lvl>
    <w:lvl w:ilvl="1">
      <w:start w:val="0"/>
      <w:numFmt w:val="bullet"/>
      <w:lvlText w:val="•"/>
      <w:lvlJc w:val="left"/>
      <w:pPr>
        <w:ind w:left="1800" w:hanging="360"/>
      </w:pPr>
      <w:rPr>
        <w:rFonts w:hint="default"/>
        <w:lang w:val="en-US" w:eastAsia="en-US" w:bidi="en-US"/>
      </w:rPr>
    </w:lvl>
    <w:lvl w:ilvl="2">
      <w:start w:val="0"/>
      <w:numFmt w:val="bullet"/>
      <w:lvlText w:val="•"/>
      <w:lvlJc w:val="left"/>
      <w:pPr>
        <w:ind w:left="2681" w:hanging="360"/>
      </w:pPr>
      <w:rPr>
        <w:rFonts w:hint="default"/>
        <w:lang w:val="en-US" w:eastAsia="en-US" w:bidi="en-US"/>
      </w:rPr>
    </w:lvl>
    <w:lvl w:ilvl="3">
      <w:start w:val="0"/>
      <w:numFmt w:val="bullet"/>
      <w:lvlText w:val="•"/>
      <w:lvlJc w:val="left"/>
      <w:pPr>
        <w:ind w:left="3561" w:hanging="360"/>
      </w:pPr>
      <w:rPr>
        <w:rFonts w:hint="default"/>
        <w:lang w:val="en-US" w:eastAsia="en-US" w:bidi="en-US"/>
      </w:rPr>
    </w:lvl>
    <w:lvl w:ilvl="4">
      <w:start w:val="0"/>
      <w:numFmt w:val="bullet"/>
      <w:lvlText w:val="•"/>
      <w:lvlJc w:val="left"/>
      <w:pPr>
        <w:ind w:left="4442" w:hanging="360"/>
      </w:pPr>
      <w:rPr>
        <w:rFonts w:hint="default"/>
        <w:lang w:val="en-US" w:eastAsia="en-US" w:bidi="en-US"/>
      </w:rPr>
    </w:lvl>
    <w:lvl w:ilvl="5">
      <w:start w:val="0"/>
      <w:numFmt w:val="bullet"/>
      <w:lvlText w:val="•"/>
      <w:lvlJc w:val="left"/>
      <w:pPr>
        <w:ind w:left="5323" w:hanging="360"/>
      </w:pPr>
      <w:rPr>
        <w:rFonts w:hint="default"/>
        <w:lang w:val="en-US" w:eastAsia="en-US" w:bidi="en-US"/>
      </w:rPr>
    </w:lvl>
    <w:lvl w:ilvl="6">
      <w:start w:val="0"/>
      <w:numFmt w:val="bullet"/>
      <w:lvlText w:val="•"/>
      <w:lvlJc w:val="left"/>
      <w:pPr>
        <w:ind w:left="6203" w:hanging="360"/>
      </w:pPr>
      <w:rPr>
        <w:rFonts w:hint="default"/>
        <w:lang w:val="en-US" w:eastAsia="en-US" w:bidi="en-US"/>
      </w:rPr>
    </w:lvl>
    <w:lvl w:ilvl="7">
      <w:start w:val="0"/>
      <w:numFmt w:val="bullet"/>
      <w:lvlText w:val="•"/>
      <w:lvlJc w:val="left"/>
      <w:pPr>
        <w:ind w:left="7084" w:hanging="360"/>
      </w:pPr>
      <w:rPr>
        <w:rFonts w:hint="default"/>
        <w:lang w:val="en-US" w:eastAsia="en-US" w:bidi="en-US"/>
      </w:rPr>
    </w:lvl>
    <w:lvl w:ilvl="8">
      <w:start w:val="0"/>
      <w:numFmt w:val="bullet"/>
      <w:lvlText w:val="•"/>
      <w:lvlJc w:val="left"/>
      <w:pPr>
        <w:ind w:left="7965" w:hanging="360"/>
      </w:pPr>
      <w:rPr>
        <w:rFonts w:hint="default"/>
        <w:lang w:val="en-US" w:eastAsia="en-US" w:bidi="en-US"/>
      </w:rPr>
    </w:lvl>
  </w:abstractNum>
  <w:abstractNum w:abstractNumId="0">
    <w:multiLevelType w:val="hybridMultilevel"/>
    <w:lvl w:ilvl="0">
      <w:start w:val="1"/>
      <w:numFmt w:val="decimal"/>
      <w:lvlText w:val="(%1)"/>
      <w:lvlJc w:val="left"/>
      <w:pPr>
        <w:ind w:left="1092" w:hanging="360"/>
        <w:jc w:val="left"/>
      </w:pPr>
      <w:rPr>
        <w:rFonts w:hint="default" w:ascii="Arial" w:hAnsi="Arial" w:eastAsia="Arial" w:cs="Arial"/>
        <w:w w:val="99"/>
        <w:sz w:val="24"/>
        <w:szCs w:val="24"/>
        <w:lang w:val="en-US" w:eastAsia="en-US" w:bidi="en-US"/>
      </w:rPr>
    </w:lvl>
    <w:lvl w:ilvl="1">
      <w:start w:val="0"/>
      <w:numFmt w:val="bullet"/>
      <w:lvlText w:val="•"/>
      <w:lvlJc w:val="left"/>
      <w:pPr>
        <w:ind w:left="1962" w:hanging="360"/>
      </w:pPr>
      <w:rPr>
        <w:rFonts w:hint="default"/>
        <w:lang w:val="en-US" w:eastAsia="en-US" w:bidi="en-US"/>
      </w:rPr>
    </w:lvl>
    <w:lvl w:ilvl="2">
      <w:start w:val="0"/>
      <w:numFmt w:val="bullet"/>
      <w:lvlText w:val="•"/>
      <w:lvlJc w:val="left"/>
      <w:pPr>
        <w:ind w:left="2825" w:hanging="360"/>
      </w:pPr>
      <w:rPr>
        <w:rFonts w:hint="default"/>
        <w:lang w:val="en-US" w:eastAsia="en-US" w:bidi="en-US"/>
      </w:rPr>
    </w:lvl>
    <w:lvl w:ilvl="3">
      <w:start w:val="0"/>
      <w:numFmt w:val="bullet"/>
      <w:lvlText w:val="•"/>
      <w:lvlJc w:val="left"/>
      <w:pPr>
        <w:ind w:left="3687" w:hanging="360"/>
      </w:pPr>
      <w:rPr>
        <w:rFonts w:hint="default"/>
        <w:lang w:val="en-US" w:eastAsia="en-US" w:bidi="en-US"/>
      </w:rPr>
    </w:lvl>
    <w:lvl w:ilvl="4">
      <w:start w:val="0"/>
      <w:numFmt w:val="bullet"/>
      <w:lvlText w:val="•"/>
      <w:lvlJc w:val="left"/>
      <w:pPr>
        <w:ind w:left="4550" w:hanging="360"/>
      </w:pPr>
      <w:rPr>
        <w:rFonts w:hint="default"/>
        <w:lang w:val="en-US" w:eastAsia="en-US" w:bidi="en-US"/>
      </w:rPr>
    </w:lvl>
    <w:lvl w:ilvl="5">
      <w:start w:val="0"/>
      <w:numFmt w:val="bullet"/>
      <w:lvlText w:val="•"/>
      <w:lvlJc w:val="left"/>
      <w:pPr>
        <w:ind w:left="5413" w:hanging="360"/>
      </w:pPr>
      <w:rPr>
        <w:rFonts w:hint="default"/>
        <w:lang w:val="en-US" w:eastAsia="en-US" w:bidi="en-US"/>
      </w:rPr>
    </w:lvl>
    <w:lvl w:ilvl="6">
      <w:start w:val="0"/>
      <w:numFmt w:val="bullet"/>
      <w:lvlText w:val="•"/>
      <w:lvlJc w:val="left"/>
      <w:pPr>
        <w:ind w:left="6275" w:hanging="360"/>
      </w:pPr>
      <w:rPr>
        <w:rFonts w:hint="default"/>
        <w:lang w:val="en-US" w:eastAsia="en-US" w:bidi="en-US"/>
      </w:rPr>
    </w:lvl>
    <w:lvl w:ilvl="7">
      <w:start w:val="0"/>
      <w:numFmt w:val="bullet"/>
      <w:lvlText w:val="•"/>
      <w:lvlJc w:val="left"/>
      <w:pPr>
        <w:ind w:left="7138" w:hanging="360"/>
      </w:pPr>
      <w:rPr>
        <w:rFonts w:hint="default"/>
        <w:lang w:val="en-US" w:eastAsia="en-US" w:bidi="en-US"/>
      </w:rPr>
    </w:lvl>
    <w:lvl w:ilvl="8">
      <w:start w:val="0"/>
      <w:numFmt w:val="bullet"/>
      <w:lvlText w:val="•"/>
      <w:lvlJc w:val="left"/>
      <w:pPr>
        <w:ind w:left="8001" w:hanging="360"/>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rPr>
      <w:rFonts w:ascii="Arial" w:hAnsi="Arial" w:eastAsia="Arial" w:cs="Arial"/>
      <w:sz w:val="24"/>
      <w:szCs w:val="24"/>
      <w:lang w:val="en-US" w:eastAsia="en-US" w:bidi="en-US"/>
    </w:rPr>
  </w:style>
  <w:style w:styleId="Heading1" w:type="paragraph">
    <w:name w:val="Heading 1"/>
    <w:basedOn w:val="Normal"/>
    <w:uiPriority w:val="1"/>
    <w:qFormat/>
    <w:pPr>
      <w:ind w:left="103"/>
      <w:outlineLvl w:val="1"/>
    </w:pPr>
    <w:rPr>
      <w:rFonts w:ascii="Arial" w:hAnsi="Arial" w:eastAsia="Arial" w:cs="Arial"/>
      <w:b/>
      <w:bCs/>
      <w:sz w:val="24"/>
      <w:szCs w:val="24"/>
      <w:lang w:val="en-US" w:eastAsia="en-US" w:bidi="en-US"/>
    </w:rPr>
  </w:style>
  <w:style w:styleId="ListParagraph" w:type="paragraph">
    <w:name w:val="List Paragraph"/>
    <w:basedOn w:val="Normal"/>
    <w:uiPriority w:val="1"/>
    <w:qFormat/>
    <w:pPr>
      <w:ind w:left="912" w:hanging="360"/>
      <w:jc w:val="both"/>
    </w:pPr>
    <w:rPr>
      <w:rFonts w:ascii="Arial" w:hAnsi="Arial" w:eastAsia="Arial" w:cs="Arial"/>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mandiwanas</dc:creator>
  <dc:title>INFORMATION MEMORANDUM</dc:title>
  <dcterms:created xsi:type="dcterms:W3CDTF">2022-01-12T11:30:08Z</dcterms:created>
  <dcterms:modified xsi:type="dcterms:W3CDTF">2022-01-12T11:30:08Z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2022-01-07T00:00:00Z</vt:filetime>
  </property>
  <property fmtid="{D5CDD505-2E9C-101B-9397-08002B2CF9AE}" pid="3" name="Creator">
    <vt:lpwstr>Microsoft® Word 2016</vt:lpwstr>
  </property>
  <property fmtid="{D5CDD505-2E9C-101B-9397-08002B2CF9AE}" pid="4" name="LastSaved">
    <vt:filetime>2022-01-12T00:00:00Z</vt:filetime>
  </property>
</Properties>
</file>