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3E" w:rsidRDefault="008E443E" w:rsidP="00130BDB">
      <w:pPr>
        <w:spacing w:after="200" w:line="276" w:lineRule="auto"/>
        <w:jc w:val="center"/>
        <w:rPr>
          <w:rFonts w:ascii="Arial" w:eastAsia="Calibri" w:hAnsi="Arial" w:cs="Arial"/>
          <w:b/>
          <w:bCs/>
          <w:lang w:val="en-ZA"/>
        </w:rPr>
      </w:pPr>
    </w:p>
    <w:p w:rsidR="008E443E" w:rsidRDefault="00C356B4" w:rsidP="00130BDB">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8E443E" w:rsidRPr="008E443E" w:rsidRDefault="008E443E" w:rsidP="008E443E">
      <w:pPr>
        <w:jc w:val="center"/>
        <w:rPr>
          <w:rFonts w:ascii="Arial" w:eastAsia="Calibri" w:hAnsi="Arial" w:cs="Arial"/>
          <w:b/>
          <w:lang w:val="en-ZA"/>
        </w:rPr>
      </w:pPr>
      <w:r w:rsidRPr="008E443E">
        <w:rPr>
          <w:rFonts w:ascii="Arial" w:eastAsia="Calibri" w:hAnsi="Arial" w:cs="Arial"/>
          <w:b/>
          <w:lang w:val="en-ZA"/>
        </w:rPr>
        <w:t>MINISTRY:  JUSTICE AND CORRECTIONAL SERVICES</w:t>
      </w:r>
    </w:p>
    <w:p w:rsidR="008E443E" w:rsidRPr="008E443E" w:rsidRDefault="008E443E" w:rsidP="008E443E">
      <w:pPr>
        <w:jc w:val="center"/>
        <w:outlineLvl w:val="0"/>
        <w:rPr>
          <w:rFonts w:ascii="Arial" w:eastAsia="Arial Unicode MS" w:hAnsi="Arial"/>
          <w:b/>
          <w:color w:val="000000"/>
          <w:szCs w:val="20"/>
          <w:lang w:val="en-ZA" w:eastAsia="en-ZA"/>
        </w:rPr>
      </w:pPr>
      <w:r w:rsidRPr="008E443E">
        <w:rPr>
          <w:rFonts w:ascii="Arial" w:eastAsia="Arial Unicode MS" w:hAnsi="Arial Unicode MS"/>
          <w:b/>
          <w:color w:val="000000"/>
          <w:szCs w:val="20"/>
          <w:lang w:val="en-ZA" w:eastAsia="en-ZA"/>
        </w:rPr>
        <w:t>REPUBLIC OF SOUTH AFRICA</w:t>
      </w:r>
    </w:p>
    <w:p w:rsidR="008E443E" w:rsidRDefault="008E443E" w:rsidP="008E443E">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8E443E">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8E443E" w:rsidP="008E443E">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8E443E" w:rsidP="008E443E">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BA2151">
        <w:rPr>
          <w:rFonts w:ascii="Arial" w:eastAsia="Calibri" w:hAnsi="Arial" w:cs="Arial"/>
          <w:b/>
          <w:bCs/>
          <w:lang w:val="en-GB"/>
        </w:rPr>
        <w:t>2</w:t>
      </w:r>
      <w:r w:rsidR="00E25344">
        <w:rPr>
          <w:rFonts w:ascii="Arial" w:eastAsia="Calibri" w:hAnsi="Arial" w:cs="Arial"/>
          <w:b/>
          <w:bCs/>
          <w:lang w:val="en-GB"/>
        </w:rPr>
        <w:t>4</w:t>
      </w:r>
      <w:r w:rsidR="00007600">
        <w:rPr>
          <w:rFonts w:ascii="Arial" w:eastAsia="Calibri" w:hAnsi="Arial" w:cs="Arial"/>
          <w:b/>
          <w:bCs/>
          <w:lang w:val="en-GB"/>
        </w:rPr>
        <w:t>8</w:t>
      </w:r>
      <w:r w:rsidR="006B1DED">
        <w:rPr>
          <w:rFonts w:ascii="Arial" w:eastAsia="Calibri" w:hAnsi="Arial" w:cs="Arial"/>
          <w:b/>
          <w:bCs/>
          <w:lang w:val="en-GB"/>
        </w:rPr>
        <w:t>4</w:t>
      </w:r>
    </w:p>
    <w:p w:rsidR="00130BDB" w:rsidRPr="008E443E" w:rsidRDefault="00130BDB" w:rsidP="008E443E">
      <w:pPr>
        <w:spacing w:after="200" w:line="276" w:lineRule="auto"/>
        <w:rPr>
          <w:rFonts w:ascii="Arial" w:eastAsia="Calibri" w:hAnsi="Arial" w:cs="Arial"/>
          <w:b/>
          <w:bCs/>
          <w:lang w:val="en-GB"/>
        </w:rPr>
      </w:pPr>
      <w:r w:rsidRPr="008E443E">
        <w:rPr>
          <w:rFonts w:ascii="Arial" w:eastAsia="Calibri" w:hAnsi="Arial" w:cs="Arial"/>
          <w:b/>
          <w:bCs/>
          <w:lang w:val="en-GB"/>
        </w:rPr>
        <w:t xml:space="preserve">DATE OF QUESTION: </w:t>
      </w:r>
      <w:r w:rsidR="00E25344" w:rsidRPr="008E443E">
        <w:rPr>
          <w:rFonts w:ascii="Arial" w:eastAsia="Calibri" w:hAnsi="Arial" w:cs="Arial"/>
          <w:b/>
          <w:bCs/>
          <w:lang w:val="en-GB"/>
        </w:rPr>
        <w:t>2</w:t>
      </w:r>
      <w:r w:rsidR="005D146C" w:rsidRPr="008E443E">
        <w:rPr>
          <w:rFonts w:ascii="Arial" w:eastAsia="Calibri" w:hAnsi="Arial" w:cs="Arial"/>
          <w:b/>
          <w:bCs/>
          <w:lang w:val="en-GB"/>
        </w:rPr>
        <w:t>6</w:t>
      </w:r>
      <w:r w:rsidR="008E443E" w:rsidRPr="008E443E">
        <w:rPr>
          <w:rFonts w:ascii="Arial" w:eastAsia="Calibri" w:hAnsi="Arial" w:cs="Arial"/>
          <w:b/>
          <w:bCs/>
          <w:lang w:val="en-GB"/>
        </w:rPr>
        <w:t xml:space="preserve"> AUGUST </w:t>
      </w:r>
      <w:r w:rsidRPr="008E443E">
        <w:rPr>
          <w:rFonts w:ascii="Arial" w:eastAsia="Calibri" w:hAnsi="Arial" w:cs="Arial"/>
          <w:b/>
          <w:bCs/>
          <w:lang w:val="en-GB"/>
        </w:rPr>
        <w:t>20</w:t>
      </w:r>
      <w:r w:rsidR="003F2E8D" w:rsidRPr="008E443E">
        <w:rPr>
          <w:rFonts w:ascii="Arial" w:eastAsia="Calibri" w:hAnsi="Arial" w:cs="Arial"/>
          <w:b/>
          <w:bCs/>
          <w:lang w:val="en-GB"/>
        </w:rPr>
        <w:t>2</w:t>
      </w:r>
      <w:r w:rsidR="00CC7543" w:rsidRPr="008E443E">
        <w:rPr>
          <w:rFonts w:ascii="Arial" w:eastAsia="Calibri" w:hAnsi="Arial" w:cs="Arial"/>
          <w:b/>
          <w:bCs/>
          <w:lang w:val="en-GB"/>
        </w:rPr>
        <w:t>2</w:t>
      </w:r>
    </w:p>
    <w:p w:rsidR="008E443E" w:rsidRPr="008E443E" w:rsidRDefault="008E443E" w:rsidP="008E443E">
      <w:pPr>
        <w:spacing w:after="200" w:line="276" w:lineRule="auto"/>
        <w:rPr>
          <w:rFonts w:ascii="Arial" w:eastAsia="Calibri" w:hAnsi="Arial" w:cs="Arial"/>
          <w:b/>
          <w:bCs/>
          <w:lang w:val="en-GB"/>
        </w:rPr>
      </w:pPr>
      <w:r w:rsidRPr="008E443E">
        <w:rPr>
          <w:rFonts w:ascii="Arial" w:eastAsia="Calibri" w:hAnsi="Arial" w:cs="Arial"/>
          <w:b/>
          <w:bCs/>
          <w:lang w:val="en-GB"/>
        </w:rPr>
        <w:t>DATE OF SUBMISSION: 09 SEPTEMBER 2022</w:t>
      </w:r>
    </w:p>
    <w:p w:rsidR="001E48EE" w:rsidRPr="00007600" w:rsidRDefault="008E443E" w:rsidP="00007600">
      <w:pPr>
        <w:spacing w:before="120" w:after="120" w:line="360" w:lineRule="auto"/>
        <w:jc w:val="both"/>
        <w:rPr>
          <w:rFonts w:ascii="Arial" w:hAnsi="Arial" w:cs="Arial"/>
          <w:b/>
          <w:bCs/>
          <w:lang w:val="en-ZA"/>
        </w:rPr>
      </w:pPr>
      <w:r w:rsidRPr="00007600">
        <w:rPr>
          <w:rFonts w:ascii="Arial" w:hAnsi="Arial" w:cs="Arial"/>
          <w:b/>
          <w:bCs/>
          <w:lang w:val="en-ZA"/>
        </w:rPr>
        <w:t xml:space="preserve"> </w:t>
      </w:r>
      <w:r w:rsidR="001E48EE" w:rsidRPr="00007600">
        <w:rPr>
          <w:rFonts w:ascii="Arial" w:hAnsi="Arial" w:cs="Arial"/>
          <w:b/>
          <w:bCs/>
          <w:lang w:val="en-ZA"/>
        </w:rPr>
        <w:t xml:space="preserve">[Dr P J Groenewald (FF Plus) to ask the Minister of Justice and Correctional </w:t>
      </w:r>
      <w:r w:rsidR="00007600" w:rsidRPr="00007600">
        <w:rPr>
          <w:rFonts w:ascii="Arial" w:hAnsi="Arial" w:cs="Arial"/>
          <w:b/>
          <w:bCs/>
          <w:lang w:val="en-ZA"/>
        </w:rPr>
        <w:t>Services: †</w:t>
      </w:r>
      <w:r w:rsidR="001E48EE" w:rsidRPr="00007600">
        <w:rPr>
          <w:rFonts w:ascii="Arial" w:hAnsi="Arial" w:cs="Arial"/>
          <w:b/>
          <w:bCs/>
          <w:lang w:val="en-ZA"/>
        </w:rPr>
        <w:t xml:space="preserve"> </w:t>
      </w:r>
    </w:p>
    <w:p w:rsidR="00007600" w:rsidRDefault="001E48EE" w:rsidP="00007600">
      <w:pPr>
        <w:numPr>
          <w:ilvl w:val="0"/>
          <w:numId w:val="14"/>
        </w:numPr>
        <w:spacing w:before="120" w:after="120" w:line="360" w:lineRule="auto"/>
        <w:jc w:val="both"/>
        <w:rPr>
          <w:rFonts w:ascii="Arial" w:hAnsi="Arial" w:cs="Arial"/>
          <w:lang w:val="en-ZA"/>
        </w:rPr>
      </w:pPr>
      <w:r w:rsidRPr="00007600">
        <w:rPr>
          <w:rFonts w:ascii="Arial" w:hAnsi="Arial" w:cs="Arial"/>
          <w:lang w:val="en-ZA"/>
        </w:rPr>
        <w:t xml:space="preserve">What number of cases of rape have been heard in courts in the (a) 2017-18, (b) 2018-19, (c) 2019-20, (d) 2020-21 and (e) 2021-22 financial </w:t>
      </w:r>
      <w:r w:rsidR="00B4078B" w:rsidRPr="00007600">
        <w:rPr>
          <w:rFonts w:ascii="Arial" w:hAnsi="Arial" w:cs="Arial"/>
          <w:lang w:val="en-ZA"/>
        </w:rPr>
        <w:t>years.</w:t>
      </w:r>
    </w:p>
    <w:p w:rsidR="00007600" w:rsidRDefault="00007600" w:rsidP="00007600">
      <w:pPr>
        <w:numPr>
          <w:ilvl w:val="0"/>
          <w:numId w:val="14"/>
        </w:numPr>
        <w:spacing w:before="120" w:after="120" w:line="360" w:lineRule="auto"/>
        <w:jc w:val="both"/>
        <w:rPr>
          <w:rFonts w:ascii="Arial" w:hAnsi="Arial" w:cs="Arial"/>
          <w:lang w:val="en-ZA"/>
        </w:rPr>
      </w:pPr>
      <w:r>
        <w:rPr>
          <w:rFonts w:ascii="Arial" w:hAnsi="Arial" w:cs="Arial"/>
          <w:lang w:val="en-ZA"/>
        </w:rPr>
        <w:t>W</w:t>
      </w:r>
      <w:r w:rsidR="001E48EE" w:rsidRPr="00007600">
        <w:rPr>
          <w:rFonts w:ascii="Arial" w:hAnsi="Arial" w:cs="Arial"/>
          <w:lang w:val="en-ZA"/>
        </w:rPr>
        <w:t xml:space="preserve">hat number of cases of rape have (a) been prosecuted successfully and (b) failed to secure a guilty verdict in each of the specified financial years; </w:t>
      </w:r>
    </w:p>
    <w:p w:rsidR="00007600" w:rsidRDefault="00007600" w:rsidP="00007600">
      <w:pPr>
        <w:numPr>
          <w:ilvl w:val="0"/>
          <w:numId w:val="14"/>
        </w:numPr>
        <w:spacing w:before="120" w:after="120" w:line="360" w:lineRule="auto"/>
        <w:jc w:val="both"/>
        <w:rPr>
          <w:rFonts w:ascii="Arial" w:hAnsi="Arial" w:cs="Arial"/>
          <w:lang w:val="en-ZA"/>
        </w:rPr>
      </w:pPr>
      <w:r>
        <w:rPr>
          <w:rFonts w:ascii="Arial" w:hAnsi="Arial" w:cs="Arial"/>
          <w:lang w:val="en-ZA"/>
        </w:rPr>
        <w:t>W</w:t>
      </w:r>
      <w:r w:rsidR="001E48EE" w:rsidRPr="00007600">
        <w:rPr>
          <w:rFonts w:ascii="Arial" w:hAnsi="Arial" w:cs="Arial"/>
          <w:lang w:val="en-ZA"/>
        </w:rPr>
        <w:t xml:space="preserve">hat (a) has he found were the different reasons why cases could not be prosecuted successfully and (b) total number of cases failed to reach a successful prosecution due to each of the specified reasons; </w:t>
      </w:r>
    </w:p>
    <w:p w:rsidR="00007600" w:rsidRDefault="00007600" w:rsidP="00007600">
      <w:pPr>
        <w:numPr>
          <w:ilvl w:val="0"/>
          <w:numId w:val="14"/>
        </w:numPr>
        <w:spacing w:before="120" w:after="120" w:line="360" w:lineRule="auto"/>
        <w:jc w:val="both"/>
        <w:rPr>
          <w:rFonts w:ascii="Arial" w:hAnsi="Arial" w:cs="Arial"/>
          <w:lang w:val="en-ZA"/>
        </w:rPr>
      </w:pPr>
      <w:r>
        <w:rPr>
          <w:rFonts w:ascii="Arial" w:hAnsi="Arial" w:cs="Arial"/>
          <w:lang w:val="en-ZA"/>
        </w:rPr>
        <w:t>W</w:t>
      </w:r>
      <w:r w:rsidR="001E48EE" w:rsidRPr="00007600">
        <w:rPr>
          <w:rFonts w:ascii="Arial" w:hAnsi="Arial" w:cs="Arial"/>
          <w:lang w:val="en-ZA"/>
        </w:rPr>
        <w:t xml:space="preserve">hether he will make a statement on the matter? </w:t>
      </w:r>
    </w:p>
    <w:p w:rsidR="001E48EE" w:rsidRPr="00007600" w:rsidRDefault="001E48EE" w:rsidP="00007600">
      <w:pPr>
        <w:spacing w:before="120" w:after="120" w:line="360" w:lineRule="auto"/>
        <w:jc w:val="right"/>
        <w:rPr>
          <w:rFonts w:ascii="Arial" w:hAnsi="Arial" w:cs="Arial"/>
          <w:b/>
          <w:lang w:val="en-ZA"/>
        </w:rPr>
      </w:pPr>
      <w:r w:rsidRPr="00007600">
        <w:rPr>
          <w:rFonts w:ascii="Arial" w:hAnsi="Arial" w:cs="Arial"/>
          <w:b/>
          <w:lang w:val="en-ZA"/>
        </w:rPr>
        <w:t>NW2930E]</w:t>
      </w:r>
    </w:p>
    <w:p w:rsidR="00983C6B" w:rsidRDefault="009133DA" w:rsidP="00BC13F5">
      <w:pPr>
        <w:spacing w:before="120" w:after="120" w:line="360" w:lineRule="auto"/>
        <w:rPr>
          <w:rFonts w:ascii="Arial" w:hAnsi="Arial" w:cs="Arial"/>
          <w:b/>
        </w:rPr>
      </w:pPr>
      <w:r>
        <w:rPr>
          <w:rFonts w:ascii="Arial" w:hAnsi="Arial" w:cs="Arial"/>
          <w:lang w:val="en-ZA"/>
        </w:rPr>
        <w:br w:type="page"/>
      </w:r>
      <w:r w:rsidR="0007655F">
        <w:rPr>
          <w:rFonts w:ascii="Arial" w:hAnsi="Arial" w:cs="Arial"/>
          <w:b/>
        </w:rPr>
        <w:lastRenderedPageBreak/>
        <w:t>REPLY:</w:t>
      </w:r>
    </w:p>
    <w:p w:rsidR="00D63930" w:rsidRDefault="00D63930" w:rsidP="00BC13F5">
      <w:pPr>
        <w:spacing w:before="120" w:after="120" w:line="360" w:lineRule="auto"/>
        <w:rPr>
          <w:rFonts w:ascii="Arial" w:hAnsi="Arial" w:cs="Arial"/>
          <w:b/>
        </w:rPr>
      </w:pPr>
    </w:p>
    <w:p w:rsidR="00D76845" w:rsidRPr="00BC13F5" w:rsidRDefault="00CD1617" w:rsidP="00D72006">
      <w:pPr>
        <w:numPr>
          <w:ilvl w:val="0"/>
          <w:numId w:val="16"/>
        </w:numPr>
        <w:spacing w:before="120" w:after="120" w:line="360" w:lineRule="auto"/>
        <w:jc w:val="both"/>
        <w:rPr>
          <w:rFonts w:ascii="Arial" w:hAnsi="Arial" w:cs="Arial"/>
          <w:lang w:val="en-ZA"/>
        </w:rPr>
      </w:pPr>
      <w:r w:rsidRPr="00BC13F5">
        <w:rPr>
          <w:rFonts w:ascii="Arial" w:hAnsi="Arial" w:cs="Arial"/>
          <w:lang w:val="en-ZA"/>
        </w:rPr>
        <w:t>The only courts that have jurisdiction to hear rape cases are the Regio</w:t>
      </w:r>
      <w:r w:rsidR="001E07C7">
        <w:rPr>
          <w:rFonts w:ascii="Arial" w:hAnsi="Arial" w:cs="Arial"/>
          <w:lang w:val="en-ZA"/>
        </w:rPr>
        <w:t>nal</w:t>
      </w:r>
      <w:r w:rsidRPr="00BC13F5">
        <w:rPr>
          <w:rFonts w:ascii="Arial" w:hAnsi="Arial" w:cs="Arial"/>
          <w:lang w:val="en-ZA"/>
        </w:rPr>
        <w:t xml:space="preserve"> and </w:t>
      </w:r>
      <w:r w:rsidR="001E07C7">
        <w:rPr>
          <w:rFonts w:ascii="Arial" w:hAnsi="Arial" w:cs="Arial"/>
          <w:lang w:val="en-ZA"/>
        </w:rPr>
        <w:t>High c</w:t>
      </w:r>
      <w:r w:rsidRPr="00BC13F5">
        <w:rPr>
          <w:rFonts w:ascii="Arial" w:hAnsi="Arial" w:cs="Arial"/>
          <w:lang w:val="en-ZA"/>
        </w:rPr>
        <w:t xml:space="preserve">ourts. </w:t>
      </w:r>
      <w:r w:rsidR="008F1066" w:rsidRPr="00BC13F5">
        <w:rPr>
          <w:rFonts w:ascii="Arial" w:hAnsi="Arial" w:cs="Arial"/>
          <w:lang w:val="en-ZA"/>
        </w:rPr>
        <w:t>The following number of verdict cases related to rape w</w:t>
      </w:r>
      <w:r w:rsidR="001E07C7">
        <w:rPr>
          <w:rFonts w:ascii="Arial" w:hAnsi="Arial" w:cs="Arial"/>
          <w:lang w:val="en-ZA"/>
        </w:rPr>
        <w:t>ere</w:t>
      </w:r>
      <w:r w:rsidR="008F1066" w:rsidRPr="00BC13F5">
        <w:rPr>
          <w:rFonts w:ascii="Arial" w:hAnsi="Arial" w:cs="Arial"/>
          <w:lang w:val="en-ZA"/>
        </w:rPr>
        <w:t xml:space="preserve"> heard in the</w:t>
      </w:r>
      <w:r w:rsidR="001E07C7">
        <w:rPr>
          <w:rFonts w:ascii="Arial" w:hAnsi="Arial" w:cs="Arial"/>
          <w:lang w:val="en-ZA"/>
        </w:rPr>
        <w:t xml:space="preserve"> Regional c</w:t>
      </w:r>
      <w:r w:rsidR="008F1066" w:rsidRPr="00BC13F5">
        <w:rPr>
          <w:rFonts w:ascii="Arial" w:hAnsi="Arial" w:cs="Arial"/>
          <w:lang w:val="en-ZA"/>
        </w:rPr>
        <w:t>ourts</w:t>
      </w:r>
      <w:r w:rsidR="001E07C7">
        <w:rPr>
          <w:rFonts w:ascii="Arial" w:hAnsi="Arial" w:cs="Arial"/>
          <w:lang w:val="en-ZA"/>
        </w:rPr>
        <w:t>,</w:t>
      </w:r>
      <w:r w:rsidR="00F3577C" w:rsidRPr="00BC13F5">
        <w:rPr>
          <w:rFonts w:ascii="Arial" w:hAnsi="Arial" w:cs="Arial"/>
          <w:lang w:val="en-ZA"/>
        </w:rPr>
        <w:t xml:space="preserve"> and w</w:t>
      </w:r>
      <w:r w:rsidR="001E07C7">
        <w:rPr>
          <w:rFonts w:ascii="Arial" w:hAnsi="Arial" w:cs="Arial"/>
          <w:lang w:val="en-ZA"/>
        </w:rPr>
        <w:t>ere</w:t>
      </w:r>
      <w:r w:rsidR="00F3577C" w:rsidRPr="00BC13F5">
        <w:rPr>
          <w:rFonts w:ascii="Arial" w:hAnsi="Arial" w:cs="Arial"/>
          <w:lang w:val="en-ZA"/>
        </w:rPr>
        <w:t xml:space="preserve"> extracted from the Electronic</w:t>
      </w:r>
      <w:r w:rsidR="001E07C7">
        <w:rPr>
          <w:rFonts w:ascii="Arial" w:hAnsi="Arial" w:cs="Arial"/>
          <w:lang w:val="en-ZA"/>
        </w:rPr>
        <w:t xml:space="preserve"> Case Management System in the L</w:t>
      </w:r>
      <w:r w:rsidR="00F3577C" w:rsidRPr="00BC13F5">
        <w:rPr>
          <w:rFonts w:ascii="Arial" w:hAnsi="Arial" w:cs="Arial"/>
          <w:lang w:val="en-ZA"/>
        </w:rPr>
        <w:t>o</w:t>
      </w:r>
      <w:r w:rsidR="001E07C7">
        <w:rPr>
          <w:rFonts w:ascii="Arial" w:hAnsi="Arial" w:cs="Arial"/>
          <w:lang w:val="en-ZA"/>
        </w:rPr>
        <w:t>wer c</w:t>
      </w:r>
      <w:r w:rsidR="00F3577C" w:rsidRPr="00BC13F5">
        <w:rPr>
          <w:rFonts w:ascii="Arial" w:hAnsi="Arial" w:cs="Arial"/>
          <w:lang w:val="en-ZA"/>
        </w:rPr>
        <w:t>ourts</w:t>
      </w:r>
      <w:r w:rsidR="00601EBF" w:rsidRPr="00BC13F5">
        <w:rPr>
          <w:rFonts w:ascii="Arial" w:hAnsi="Arial" w:cs="Arial"/>
          <w:lang w:val="en-ZA"/>
        </w:rPr>
        <w:t>:</w:t>
      </w:r>
    </w:p>
    <w:tbl>
      <w:tblPr>
        <w:tblW w:w="8930" w:type="dxa"/>
        <w:tblInd w:w="534" w:type="dxa"/>
        <w:tblLook w:val="04A0"/>
      </w:tblPr>
      <w:tblGrid>
        <w:gridCol w:w="3342"/>
        <w:gridCol w:w="5588"/>
      </w:tblGrid>
      <w:tr w:rsidR="008F1066" w:rsidRPr="002E62D1" w:rsidTr="00BC13F5">
        <w:trPr>
          <w:trHeight w:val="408"/>
        </w:trPr>
        <w:tc>
          <w:tcPr>
            <w:tcW w:w="3342" w:type="dxa"/>
            <w:tcBorders>
              <w:top w:val="single" w:sz="4" w:space="0" w:color="8EA9DB"/>
              <w:left w:val="single" w:sz="4" w:space="0" w:color="8EA9DB"/>
              <w:bottom w:val="single" w:sz="4" w:space="0" w:color="8EA9DB"/>
              <w:right w:val="nil"/>
            </w:tcBorders>
            <w:shd w:val="clear" w:color="4472C4" w:fill="4472C4"/>
            <w:noWrap/>
            <w:vAlign w:val="center"/>
            <w:hideMark/>
          </w:tcPr>
          <w:p w:rsidR="008F1066" w:rsidRPr="002E62D1" w:rsidRDefault="008F1066" w:rsidP="00BC13F5">
            <w:pPr>
              <w:spacing w:line="360" w:lineRule="auto"/>
              <w:jc w:val="center"/>
              <w:rPr>
                <w:rFonts w:ascii="Arial" w:hAnsi="Arial" w:cs="Arial"/>
                <w:b/>
                <w:bCs/>
                <w:color w:val="FFFFFF"/>
                <w:sz w:val="22"/>
                <w:szCs w:val="22"/>
              </w:rPr>
            </w:pPr>
            <w:r w:rsidRPr="002E62D1">
              <w:rPr>
                <w:rFonts w:ascii="Arial" w:hAnsi="Arial" w:cs="Arial"/>
                <w:b/>
                <w:bCs/>
                <w:color w:val="FFFFFF"/>
                <w:sz w:val="22"/>
                <w:szCs w:val="22"/>
              </w:rPr>
              <w:t>YEAR</w:t>
            </w:r>
          </w:p>
        </w:tc>
        <w:tc>
          <w:tcPr>
            <w:tcW w:w="5588" w:type="dxa"/>
            <w:tcBorders>
              <w:top w:val="single" w:sz="4" w:space="0" w:color="8EA9DB"/>
              <w:left w:val="nil"/>
              <w:bottom w:val="single" w:sz="4" w:space="0" w:color="8EA9DB"/>
              <w:right w:val="nil"/>
            </w:tcBorders>
            <w:shd w:val="clear" w:color="4472C4" w:fill="4472C4"/>
            <w:noWrap/>
            <w:vAlign w:val="center"/>
            <w:hideMark/>
          </w:tcPr>
          <w:p w:rsidR="008F1066" w:rsidRPr="002E62D1" w:rsidRDefault="008F1066" w:rsidP="00BC13F5">
            <w:pPr>
              <w:spacing w:line="360" w:lineRule="auto"/>
              <w:jc w:val="center"/>
              <w:rPr>
                <w:rFonts w:ascii="Arial" w:hAnsi="Arial" w:cs="Arial"/>
                <w:b/>
                <w:bCs/>
                <w:color w:val="FFFFFF"/>
                <w:sz w:val="22"/>
                <w:szCs w:val="22"/>
              </w:rPr>
            </w:pPr>
            <w:r w:rsidRPr="002E62D1">
              <w:rPr>
                <w:rFonts w:ascii="Arial" w:hAnsi="Arial" w:cs="Arial"/>
                <w:b/>
                <w:bCs/>
                <w:color w:val="FFFFFF"/>
                <w:sz w:val="22"/>
                <w:szCs w:val="22"/>
              </w:rPr>
              <w:t>VERDICTS</w:t>
            </w:r>
          </w:p>
        </w:tc>
      </w:tr>
      <w:tr w:rsidR="008F1066" w:rsidRPr="002E62D1" w:rsidTr="00BC13F5">
        <w:trPr>
          <w:trHeight w:val="408"/>
        </w:trPr>
        <w:tc>
          <w:tcPr>
            <w:tcW w:w="3342" w:type="dxa"/>
            <w:tcBorders>
              <w:top w:val="single" w:sz="4" w:space="0" w:color="8EA9DB"/>
              <w:left w:val="single" w:sz="4" w:space="0" w:color="8EA9DB"/>
              <w:bottom w:val="single" w:sz="4" w:space="0" w:color="8EA9DB"/>
              <w:right w:val="nil"/>
            </w:tcBorders>
            <w:shd w:val="clear" w:color="D9E1F2" w:fill="D9E1F2"/>
            <w:noWrap/>
            <w:vAlign w:val="bottom"/>
            <w:hideMark/>
          </w:tcPr>
          <w:p w:rsidR="008F1066" w:rsidRPr="002E62D1" w:rsidRDefault="008F1066" w:rsidP="00BC13F5">
            <w:pPr>
              <w:spacing w:line="360" w:lineRule="auto"/>
              <w:rPr>
                <w:rFonts w:ascii="Arial" w:hAnsi="Arial" w:cs="Arial"/>
                <w:color w:val="000000"/>
                <w:sz w:val="22"/>
                <w:szCs w:val="22"/>
              </w:rPr>
            </w:pPr>
            <w:r w:rsidRPr="002E62D1">
              <w:rPr>
                <w:rFonts w:ascii="Arial" w:hAnsi="Arial" w:cs="Arial"/>
                <w:color w:val="000000"/>
                <w:sz w:val="22"/>
                <w:szCs w:val="22"/>
              </w:rPr>
              <w:t>2018/19</w:t>
            </w:r>
          </w:p>
        </w:tc>
        <w:tc>
          <w:tcPr>
            <w:tcW w:w="5588" w:type="dxa"/>
            <w:tcBorders>
              <w:top w:val="single" w:sz="4" w:space="0" w:color="8EA9DB"/>
              <w:left w:val="nil"/>
              <w:bottom w:val="single" w:sz="4" w:space="0" w:color="8EA9DB"/>
              <w:right w:val="nil"/>
            </w:tcBorders>
            <w:shd w:val="clear" w:color="D9E1F2" w:fill="D9E1F2"/>
            <w:noWrap/>
            <w:vAlign w:val="bottom"/>
            <w:hideMark/>
          </w:tcPr>
          <w:p w:rsidR="008F1066" w:rsidRPr="002E62D1" w:rsidRDefault="00887FC2" w:rsidP="00BC13F5">
            <w:pPr>
              <w:spacing w:line="360" w:lineRule="auto"/>
              <w:jc w:val="center"/>
              <w:rPr>
                <w:rFonts w:ascii="Arial" w:hAnsi="Arial" w:cs="Arial"/>
                <w:color w:val="000000"/>
                <w:sz w:val="22"/>
                <w:szCs w:val="22"/>
              </w:rPr>
            </w:pPr>
            <w:r w:rsidRPr="002E62D1">
              <w:rPr>
                <w:rFonts w:ascii="Arial" w:hAnsi="Arial" w:cs="Arial"/>
                <w:color w:val="000000"/>
                <w:sz w:val="22"/>
                <w:szCs w:val="22"/>
              </w:rPr>
              <w:t>4 215</w:t>
            </w:r>
          </w:p>
        </w:tc>
      </w:tr>
      <w:tr w:rsidR="008F1066" w:rsidRPr="002E62D1" w:rsidTr="00BC13F5">
        <w:trPr>
          <w:trHeight w:val="408"/>
        </w:trPr>
        <w:tc>
          <w:tcPr>
            <w:tcW w:w="3342" w:type="dxa"/>
            <w:tcBorders>
              <w:top w:val="single" w:sz="4" w:space="0" w:color="8EA9DB"/>
              <w:left w:val="single" w:sz="4" w:space="0" w:color="8EA9DB"/>
              <w:bottom w:val="single" w:sz="4" w:space="0" w:color="8EA9DB"/>
              <w:right w:val="nil"/>
            </w:tcBorders>
            <w:shd w:val="clear" w:color="auto" w:fill="auto"/>
            <w:noWrap/>
            <w:vAlign w:val="bottom"/>
            <w:hideMark/>
          </w:tcPr>
          <w:p w:rsidR="008F1066" w:rsidRPr="002E62D1" w:rsidRDefault="008F1066" w:rsidP="00BC13F5">
            <w:pPr>
              <w:spacing w:line="360" w:lineRule="auto"/>
              <w:rPr>
                <w:rFonts w:ascii="Arial" w:hAnsi="Arial" w:cs="Arial"/>
                <w:color w:val="000000"/>
                <w:sz w:val="22"/>
                <w:szCs w:val="22"/>
              </w:rPr>
            </w:pPr>
            <w:r w:rsidRPr="002E62D1">
              <w:rPr>
                <w:rFonts w:ascii="Arial" w:hAnsi="Arial" w:cs="Arial"/>
                <w:color w:val="000000"/>
                <w:sz w:val="22"/>
                <w:szCs w:val="22"/>
              </w:rPr>
              <w:t>2019/20</w:t>
            </w:r>
          </w:p>
        </w:tc>
        <w:tc>
          <w:tcPr>
            <w:tcW w:w="5588" w:type="dxa"/>
            <w:tcBorders>
              <w:top w:val="single" w:sz="4" w:space="0" w:color="8EA9DB"/>
              <w:left w:val="nil"/>
              <w:bottom w:val="single" w:sz="4" w:space="0" w:color="8EA9DB"/>
              <w:right w:val="nil"/>
            </w:tcBorders>
            <w:shd w:val="clear" w:color="auto" w:fill="auto"/>
            <w:noWrap/>
            <w:vAlign w:val="bottom"/>
            <w:hideMark/>
          </w:tcPr>
          <w:p w:rsidR="008F1066" w:rsidRPr="002E62D1" w:rsidRDefault="00887FC2" w:rsidP="00BC13F5">
            <w:pPr>
              <w:spacing w:line="360" w:lineRule="auto"/>
              <w:jc w:val="center"/>
              <w:rPr>
                <w:rFonts w:ascii="Arial" w:hAnsi="Arial" w:cs="Arial"/>
                <w:color w:val="000000"/>
                <w:sz w:val="22"/>
                <w:szCs w:val="22"/>
              </w:rPr>
            </w:pPr>
            <w:r w:rsidRPr="002E62D1">
              <w:rPr>
                <w:rFonts w:ascii="Arial" w:hAnsi="Arial" w:cs="Arial"/>
                <w:color w:val="000000"/>
                <w:sz w:val="22"/>
                <w:szCs w:val="22"/>
              </w:rPr>
              <w:t>3 984</w:t>
            </w:r>
          </w:p>
        </w:tc>
      </w:tr>
      <w:tr w:rsidR="008F1066" w:rsidRPr="002E62D1" w:rsidTr="00BC13F5">
        <w:trPr>
          <w:trHeight w:val="408"/>
        </w:trPr>
        <w:tc>
          <w:tcPr>
            <w:tcW w:w="3342" w:type="dxa"/>
            <w:tcBorders>
              <w:top w:val="single" w:sz="4" w:space="0" w:color="8EA9DB"/>
              <w:left w:val="single" w:sz="4" w:space="0" w:color="8EA9DB"/>
              <w:bottom w:val="single" w:sz="4" w:space="0" w:color="8EA9DB"/>
              <w:right w:val="nil"/>
            </w:tcBorders>
            <w:shd w:val="clear" w:color="D9E1F2" w:fill="D9E1F2"/>
            <w:noWrap/>
            <w:vAlign w:val="bottom"/>
            <w:hideMark/>
          </w:tcPr>
          <w:p w:rsidR="008F1066" w:rsidRPr="002E62D1" w:rsidRDefault="008F1066" w:rsidP="00BC13F5">
            <w:pPr>
              <w:spacing w:line="360" w:lineRule="auto"/>
              <w:rPr>
                <w:rFonts w:ascii="Arial" w:hAnsi="Arial" w:cs="Arial"/>
                <w:color w:val="000000"/>
                <w:sz w:val="22"/>
                <w:szCs w:val="22"/>
              </w:rPr>
            </w:pPr>
            <w:r w:rsidRPr="002E62D1">
              <w:rPr>
                <w:rFonts w:ascii="Arial" w:hAnsi="Arial" w:cs="Arial"/>
                <w:color w:val="000000"/>
                <w:sz w:val="22"/>
                <w:szCs w:val="22"/>
              </w:rPr>
              <w:t>2020/21</w:t>
            </w:r>
          </w:p>
        </w:tc>
        <w:tc>
          <w:tcPr>
            <w:tcW w:w="5588" w:type="dxa"/>
            <w:tcBorders>
              <w:top w:val="single" w:sz="4" w:space="0" w:color="8EA9DB"/>
              <w:left w:val="nil"/>
              <w:bottom w:val="single" w:sz="4" w:space="0" w:color="8EA9DB"/>
              <w:right w:val="nil"/>
            </w:tcBorders>
            <w:shd w:val="clear" w:color="D9E1F2" w:fill="D9E1F2"/>
            <w:noWrap/>
            <w:vAlign w:val="bottom"/>
            <w:hideMark/>
          </w:tcPr>
          <w:p w:rsidR="008F1066" w:rsidRPr="002E62D1" w:rsidRDefault="00887FC2" w:rsidP="00BC13F5">
            <w:pPr>
              <w:spacing w:line="360" w:lineRule="auto"/>
              <w:jc w:val="center"/>
              <w:rPr>
                <w:rFonts w:ascii="Arial" w:hAnsi="Arial" w:cs="Arial"/>
                <w:color w:val="000000"/>
                <w:sz w:val="22"/>
                <w:szCs w:val="22"/>
              </w:rPr>
            </w:pPr>
            <w:r w:rsidRPr="002E62D1">
              <w:rPr>
                <w:rFonts w:ascii="Arial" w:hAnsi="Arial" w:cs="Arial"/>
                <w:color w:val="000000"/>
                <w:sz w:val="22"/>
                <w:szCs w:val="22"/>
              </w:rPr>
              <w:t>617</w:t>
            </w:r>
          </w:p>
        </w:tc>
      </w:tr>
      <w:tr w:rsidR="008F1066" w:rsidRPr="002E62D1" w:rsidTr="00BC13F5">
        <w:trPr>
          <w:trHeight w:val="408"/>
        </w:trPr>
        <w:tc>
          <w:tcPr>
            <w:tcW w:w="3342" w:type="dxa"/>
            <w:tcBorders>
              <w:top w:val="single" w:sz="4" w:space="0" w:color="8EA9DB"/>
              <w:left w:val="single" w:sz="4" w:space="0" w:color="8EA9DB"/>
              <w:bottom w:val="single" w:sz="4" w:space="0" w:color="8EA9DB"/>
              <w:right w:val="nil"/>
            </w:tcBorders>
            <w:shd w:val="clear" w:color="auto" w:fill="auto"/>
            <w:noWrap/>
            <w:vAlign w:val="bottom"/>
            <w:hideMark/>
          </w:tcPr>
          <w:p w:rsidR="008F1066" w:rsidRPr="002E62D1" w:rsidRDefault="008F1066" w:rsidP="00BC13F5">
            <w:pPr>
              <w:spacing w:line="360" w:lineRule="auto"/>
              <w:rPr>
                <w:rFonts w:ascii="Arial" w:hAnsi="Arial" w:cs="Arial"/>
                <w:color w:val="000000"/>
                <w:sz w:val="22"/>
                <w:szCs w:val="22"/>
              </w:rPr>
            </w:pPr>
            <w:r w:rsidRPr="002E62D1">
              <w:rPr>
                <w:rFonts w:ascii="Arial" w:hAnsi="Arial" w:cs="Arial"/>
                <w:color w:val="000000"/>
                <w:sz w:val="22"/>
                <w:szCs w:val="22"/>
              </w:rPr>
              <w:t>2021/22</w:t>
            </w:r>
          </w:p>
        </w:tc>
        <w:tc>
          <w:tcPr>
            <w:tcW w:w="5588" w:type="dxa"/>
            <w:tcBorders>
              <w:top w:val="single" w:sz="4" w:space="0" w:color="8EA9DB"/>
              <w:left w:val="nil"/>
              <w:bottom w:val="single" w:sz="4" w:space="0" w:color="8EA9DB"/>
              <w:right w:val="nil"/>
            </w:tcBorders>
            <w:shd w:val="clear" w:color="auto" w:fill="auto"/>
            <w:noWrap/>
            <w:vAlign w:val="bottom"/>
            <w:hideMark/>
          </w:tcPr>
          <w:p w:rsidR="008F1066" w:rsidRPr="002E62D1" w:rsidRDefault="00887FC2" w:rsidP="00BC13F5">
            <w:pPr>
              <w:spacing w:line="360" w:lineRule="auto"/>
              <w:jc w:val="center"/>
              <w:rPr>
                <w:rFonts w:ascii="Arial" w:hAnsi="Arial" w:cs="Arial"/>
                <w:color w:val="000000"/>
                <w:sz w:val="22"/>
                <w:szCs w:val="22"/>
              </w:rPr>
            </w:pPr>
            <w:r w:rsidRPr="002E62D1">
              <w:rPr>
                <w:rFonts w:ascii="Arial" w:hAnsi="Arial" w:cs="Arial"/>
                <w:color w:val="000000"/>
                <w:sz w:val="22"/>
                <w:szCs w:val="22"/>
              </w:rPr>
              <w:t>2 789</w:t>
            </w:r>
          </w:p>
        </w:tc>
      </w:tr>
    </w:tbl>
    <w:p w:rsidR="00BC13F5" w:rsidRDefault="00BC13F5" w:rsidP="00BC13F5">
      <w:pPr>
        <w:spacing w:before="120" w:after="120" w:line="360" w:lineRule="auto"/>
        <w:ind w:left="360"/>
        <w:jc w:val="both"/>
        <w:rPr>
          <w:rFonts w:ascii="Arial" w:hAnsi="Arial" w:cs="Arial"/>
          <w:lang w:val="en-ZA"/>
        </w:rPr>
      </w:pPr>
    </w:p>
    <w:p w:rsidR="00E27C60" w:rsidRPr="00BC13F5" w:rsidRDefault="00E27C60" w:rsidP="00BC13F5">
      <w:pPr>
        <w:numPr>
          <w:ilvl w:val="0"/>
          <w:numId w:val="16"/>
        </w:numPr>
        <w:spacing w:before="120" w:after="120" w:line="360" w:lineRule="auto"/>
        <w:jc w:val="both"/>
        <w:rPr>
          <w:rFonts w:ascii="Arial" w:hAnsi="Arial" w:cs="Arial"/>
          <w:lang w:val="en-ZA"/>
        </w:rPr>
      </w:pPr>
      <w:r w:rsidRPr="00BC13F5">
        <w:rPr>
          <w:rFonts w:ascii="Arial" w:hAnsi="Arial" w:cs="Arial"/>
          <w:lang w:val="en-ZA"/>
        </w:rPr>
        <w:t xml:space="preserve">The following </w:t>
      </w:r>
      <w:r w:rsidR="001E07C7">
        <w:rPr>
          <w:rFonts w:ascii="Arial" w:hAnsi="Arial" w:cs="Arial"/>
          <w:lang w:val="en-ZA"/>
        </w:rPr>
        <w:t>t</w:t>
      </w:r>
      <w:r w:rsidRPr="00BC13F5">
        <w:rPr>
          <w:rFonts w:ascii="Arial" w:hAnsi="Arial" w:cs="Arial"/>
          <w:lang w:val="en-ZA"/>
        </w:rPr>
        <w:t>able reflects the number of cases finalised in the past five</w:t>
      </w:r>
      <w:r w:rsidR="001E07C7">
        <w:rPr>
          <w:rFonts w:ascii="Arial" w:hAnsi="Arial" w:cs="Arial"/>
          <w:lang w:val="en-ZA"/>
        </w:rPr>
        <w:t xml:space="preserve"> (5)</w:t>
      </w:r>
      <w:r w:rsidRPr="00BC13F5">
        <w:rPr>
          <w:rFonts w:ascii="Arial" w:hAnsi="Arial" w:cs="Arial"/>
          <w:lang w:val="en-ZA"/>
        </w:rPr>
        <w:t xml:space="preserve"> years, both with convictions as well as acquittals</w:t>
      </w:r>
      <w:r w:rsidR="008F1066" w:rsidRPr="00BC13F5">
        <w:rPr>
          <w:rFonts w:ascii="Arial" w:hAnsi="Arial" w:cs="Arial"/>
          <w:lang w:val="en-ZA"/>
        </w:rPr>
        <w:t xml:space="preserve"> in the Regional </w:t>
      </w:r>
      <w:r w:rsidR="001E07C7">
        <w:rPr>
          <w:rFonts w:ascii="Arial" w:hAnsi="Arial" w:cs="Arial"/>
          <w:lang w:val="en-ZA"/>
        </w:rPr>
        <w:t>c</w:t>
      </w:r>
      <w:r w:rsidR="008F1066" w:rsidRPr="00BC13F5">
        <w:rPr>
          <w:rFonts w:ascii="Arial" w:hAnsi="Arial" w:cs="Arial"/>
          <w:lang w:val="en-ZA"/>
        </w:rPr>
        <w:t>ourts</w:t>
      </w:r>
      <w:r w:rsidRPr="00BC13F5">
        <w:rPr>
          <w:rFonts w:ascii="Arial" w:hAnsi="Arial" w:cs="Arial"/>
          <w:lang w:val="en-ZA"/>
        </w:rPr>
        <w:t>:</w:t>
      </w:r>
    </w:p>
    <w:tbl>
      <w:tblPr>
        <w:tblW w:w="9042" w:type="dxa"/>
        <w:tblInd w:w="534" w:type="dxa"/>
        <w:tblLook w:val="04A0"/>
      </w:tblPr>
      <w:tblGrid>
        <w:gridCol w:w="2295"/>
        <w:gridCol w:w="1815"/>
        <w:gridCol w:w="1987"/>
        <w:gridCol w:w="2945"/>
      </w:tblGrid>
      <w:tr w:rsidR="008F1066" w:rsidRPr="002E62D1" w:rsidTr="002E62D1">
        <w:trPr>
          <w:trHeight w:val="300"/>
        </w:trPr>
        <w:tc>
          <w:tcPr>
            <w:tcW w:w="2295" w:type="dxa"/>
            <w:tcBorders>
              <w:top w:val="single" w:sz="4" w:space="0" w:color="8EA9DB"/>
              <w:left w:val="single" w:sz="4" w:space="0" w:color="8EA9DB"/>
              <w:bottom w:val="single" w:sz="4" w:space="0" w:color="8EA9DB"/>
              <w:right w:val="nil"/>
            </w:tcBorders>
            <w:shd w:val="clear" w:color="4472C4" w:fill="4472C4"/>
            <w:noWrap/>
            <w:vAlign w:val="center"/>
            <w:hideMark/>
          </w:tcPr>
          <w:p w:rsidR="008F1066" w:rsidRPr="002E62D1" w:rsidRDefault="008F1066" w:rsidP="00BC13F5">
            <w:pPr>
              <w:spacing w:line="360" w:lineRule="auto"/>
              <w:jc w:val="center"/>
              <w:rPr>
                <w:rFonts w:ascii="Arial" w:hAnsi="Arial" w:cs="Arial"/>
                <w:b/>
                <w:bCs/>
                <w:color w:val="FFFFFF"/>
                <w:sz w:val="22"/>
                <w:szCs w:val="22"/>
              </w:rPr>
            </w:pPr>
            <w:r w:rsidRPr="002E62D1">
              <w:rPr>
                <w:rFonts w:ascii="Arial" w:hAnsi="Arial" w:cs="Arial"/>
                <w:b/>
                <w:bCs/>
                <w:color w:val="FFFFFF"/>
                <w:sz w:val="22"/>
                <w:szCs w:val="22"/>
              </w:rPr>
              <w:t>YEAR</w:t>
            </w:r>
          </w:p>
        </w:tc>
        <w:tc>
          <w:tcPr>
            <w:tcW w:w="1815" w:type="dxa"/>
            <w:tcBorders>
              <w:top w:val="single" w:sz="4" w:space="0" w:color="8EA9DB"/>
              <w:left w:val="nil"/>
              <w:bottom w:val="single" w:sz="4" w:space="0" w:color="8EA9DB"/>
              <w:right w:val="nil"/>
            </w:tcBorders>
            <w:shd w:val="clear" w:color="4472C4" w:fill="4472C4"/>
            <w:noWrap/>
            <w:vAlign w:val="center"/>
            <w:hideMark/>
          </w:tcPr>
          <w:p w:rsidR="008F1066" w:rsidRPr="002E62D1" w:rsidRDefault="008F1066" w:rsidP="00BC13F5">
            <w:pPr>
              <w:spacing w:line="360" w:lineRule="auto"/>
              <w:jc w:val="center"/>
              <w:rPr>
                <w:rFonts w:ascii="Arial" w:hAnsi="Arial" w:cs="Arial"/>
                <w:b/>
                <w:bCs/>
                <w:color w:val="FFFFFF"/>
                <w:sz w:val="22"/>
                <w:szCs w:val="22"/>
              </w:rPr>
            </w:pPr>
            <w:r w:rsidRPr="002E62D1">
              <w:rPr>
                <w:rFonts w:ascii="Arial" w:hAnsi="Arial" w:cs="Arial"/>
                <w:b/>
                <w:bCs/>
                <w:color w:val="FFFFFF"/>
                <w:sz w:val="22"/>
                <w:szCs w:val="22"/>
              </w:rPr>
              <w:t>CONVICTIONS</w:t>
            </w:r>
          </w:p>
        </w:tc>
        <w:tc>
          <w:tcPr>
            <w:tcW w:w="1987" w:type="dxa"/>
            <w:tcBorders>
              <w:top w:val="single" w:sz="4" w:space="0" w:color="8EA9DB"/>
              <w:left w:val="nil"/>
              <w:bottom w:val="single" w:sz="4" w:space="0" w:color="8EA9DB"/>
              <w:right w:val="nil"/>
            </w:tcBorders>
            <w:shd w:val="clear" w:color="4472C4" w:fill="4472C4"/>
            <w:noWrap/>
            <w:vAlign w:val="center"/>
            <w:hideMark/>
          </w:tcPr>
          <w:p w:rsidR="008F1066" w:rsidRPr="002E62D1" w:rsidRDefault="008F1066" w:rsidP="00BC13F5">
            <w:pPr>
              <w:spacing w:line="360" w:lineRule="auto"/>
              <w:jc w:val="center"/>
              <w:rPr>
                <w:rFonts w:ascii="Arial" w:hAnsi="Arial" w:cs="Arial"/>
                <w:b/>
                <w:bCs/>
                <w:color w:val="FFFFFF"/>
                <w:sz w:val="22"/>
                <w:szCs w:val="22"/>
              </w:rPr>
            </w:pPr>
            <w:r w:rsidRPr="002E62D1">
              <w:rPr>
                <w:rFonts w:ascii="Arial" w:hAnsi="Arial" w:cs="Arial"/>
                <w:b/>
                <w:bCs/>
                <w:color w:val="FFFFFF"/>
                <w:sz w:val="22"/>
                <w:szCs w:val="22"/>
              </w:rPr>
              <w:t>ACQUITTALS</w:t>
            </w:r>
          </w:p>
        </w:tc>
        <w:tc>
          <w:tcPr>
            <w:tcW w:w="2945" w:type="dxa"/>
            <w:tcBorders>
              <w:top w:val="single" w:sz="4" w:space="0" w:color="8EA9DB"/>
              <w:left w:val="nil"/>
              <w:bottom w:val="single" w:sz="4" w:space="0" w:color="8EA9DB"/>
              <w:right w:val="single" w:sz="4" w:space="0" w:color="8EA9DB"/>
            </w:tcBorders>
            <w:shd w:val="clear" w:color="4472C4" w:fill="4472C4"/>
            <w:noWrap/>
            <w:vAlign w:val="center"/>
            <w:hideMark/>
          </w:tcPr>
          <w:p w:rsidR="008F1066" w:rsidRPr="002E62D1" w:rsidRDefault="008F1066" w:rsidP="00BC13F5">
            <w:pPr>
              <w:spacing w:line="360" w:lineRule="auto"/>
              <w:jc w:val="center"/>
              <w:rPr>
                <w:rFonts w:ascii="Arial" w:hAnsi="Arial" w:cs="Arial"/>
                <w:b/>
                <w:bCs/>
                <w:color w:val="FFFFFF"/>
                <w:sz w:val="22"/>
                <w:szCs w:val="22"/>
              </w:rPr>
            </w:pPr>
            <w:r w:rsidRPr="002E62D1">
              <w:rPr>
                <w:rFonts w:ascii="Arial" w:hAnsi="Arial" w:cs="Arial"/>
                <w:b/>
                <w:bCs/>
                <w:color w:val="FFFFFF"/>
                <w:sz w:val="22"/>
                <w:szCs w:val="22"/>
              </w:rPr>
              <w:t>CONVICTION RATE</w:t>
            </w:r>
          </w:p>
        </w:tc>
      </w:tr>
      <w:tr w:rsidR="008F1066" w:rsidRPr="002E62D1" w:rsidTr="002E62D1">
        <w:trPr>
          <w:trHeight w:val="300"/>
        </w:trPr>
        <w:tc>
          <w:tcPr>
            <w:tcW w:w="2295" w:type="dxa"/>
            <w:tcBorders>
              <w:top w:val="single" w:sz="4" w:space="0" w:color="8EA9DB"/>
              <w:left w:val="single" w:sz="4" w:space="0" w:color="8EA9DB"/>
              <w:bottom w:val="single" w:sz="4" w:space="0" w:color="8EA9DB"/>
              <w:right w:val="nil"/>
            </w:tcBorders>
            <w:shd w:val="clear" w:color="D9E1F2" w:fill="D9E1F2"/>
            <w:noWrap/>
            <w:vAlign w:val="bottom"/>
            <w:hideMark/>
          </w:tcPr>
          <w:p w:rsidR="008F1066" w:rsidRPr="002E62D1" w:rsidRDefault="008F1066" w:rsidP="00BC13F5">
            <w:pPr>
              <w:spacing w:line="360" w:lineRule="auto"/>
              <w:rPr>
                <w:rFonts w:ascii="Arial" w:hAnsi="Arial" w:cs="Arial"/>
                <w:color w:val="000000"/>
                <w:sz w:val="22"/>
                <w:szCs w:val="22"/>
              </w:rPr>
            </w:pPr>
            <w:r w:rsidRPr="002E62D1">
              <w:rPr>
                <w:rFonts w:ascii="Arial" w:hAnsi="Arial" w:cs="Arial"/>
                <w:color w:val="000000"/>
                <w:sz w:val="22"/>
                <w:szCs w:val="22"/>
              </w:rPr>
              <w:t>2018/19</w:t>
            </w:r>
          </w:p>
        </w:tc>
        <w:tc>
          <w:tcPr>
            <w:tcW w:w="1815" w:type="dxa"/>
            <w:tcBorders>
              <w:top w:val="single" w:sz="4" w:space="0" w:color="8EA9DB"/>
              <w:left w:val="nil"/>
              <w:bottom w:val="single" w:sz="4" w:space="0" w:color="8EA9DB"/>
              <w:right w:val="nil"/>
            </w:tcBorders>
            <w:shd w:val="clear" w:color="D9E1F2" w:fill="D9E1F2"/>
            <w:noWrap/>
            <w:vAlign w:val="bottom"/>
            <w:hideMark/>
          </w:tcPr>
          <w:p w:rsidR="008F1066" w:rsidRPr="002E62D1" w:rsidRDefault="00F3577C" w:rsidP="00BC13F5">
            <w:pPr>
              <w:spacing w:line="360" w:lineRule="auto"/>
              <w:jc w:val="center"/>
              <w:rPr>
                <w:rFonts w:ascii="Arial" w:hAnsi="Arial" w:cs="Arial"/>
                <w:color w:val="000000"/>
                <w:sz w:val="22"/>
                <w:szCs w:val="22"/>
              </w:rPr>
            </w:pPr>
            <w:r w:rsidRPr="002E62D1">
              <w:rPr>
                <w:rFonts w:ascii="Arial" w:hAnsi="Arial" w:cs="Arial"/>
                <w:color w:val="000000"/>
                <w:sz w:val="22"/>
                <w:szCs w:val="22"/>
              </w:rPr>
              <w:t>2 820</w:t>
            </w:r>
          </w:p>
        </w:tc>
        <w:tc>
          <w:tcPr>
            <w:tcW w:w="1987" w:type="dxa"/>
            <w:tcBorders>
              <w:top w:val="single" w:sz="4" w:space="0" w:color="8EA9DB"/>
              <w:left w:val="nil"/>
              <w:bottom w:val="single" w:sz="4" w:space="0" w:color="8EA9DB"/>
              <w:right w:val="nil"/>
            </w:tcBorders>
            <w:shd w:val="clear" w:color="D9E1F2" w:fill="D9E1F2"/>
            <w:noWrap/>
            <w:vAlign w:val="bottom"/>
            <w:hideMark/>
          </w:tcPr>
          <w:p w:rsidR="008F1066" w:rsidRPr="002E62D1" w:rsidRDefault="008F1066" w:rsidP="00BC13F5">
            <w:pPr>
              <w:spacing w:line="360" w:lineRule="auto"/>
              <w:jc w:val="center"/>
              <w:rPr>
                <w:rFonts w:ascii="Arial" w:hAnsi="Arial" w:cs="Arial"/>
                <w:color w:val="000000"/>
                <w:sz w:val="22"/>
                <w:szCs w:val="22"/>
              </w:rPr>
            </w:pPr>
            <w:r w:rsidRPr="002E62D1">
              <w:rPr>
                <w:rFonts w:ascii="Arial" w:hAnsi="Arial" w:cs="Arial"/>
                <w:color w:val="000000"/>
                <w:sz w:val="22"/>
                <w:szCs w:val="22"/>
              </w:rPr>
              <w:t>1</w:t>
            </w:r>
            <w:r w:rsidR="00F3577C" w:rsidRPr="002E62D1">
              <w:rPr>
                <w:rFonts w:ascii="Arial" w:hAnsi="Arial" w:cs="Arial"/>
                <w:color w:val="000000"/>
                <w:sz w:val="22"/>
                <w:szCs w:val="22"/>
              </w:rPr>
              <w:t xml:space="preserve"> </w:t>
            </w:r>
            <w:r w:rsidRPr="002E62D1">
              <w:rPr>
                <w:rFonts w:ascii="Arial" w:hAnsi="Arial" w:cs="Arial"/>
                <w:color w:val="000000"/>
                <w:sz w:val="22"/>
                <w:szCs w:val="22"/>
              </w:rPr>
              <w:t>3</w:t>
            </w:r>
            <w:r w:rsidR="00F3577C" w:rsidRPr="002E62D1">
              <w:rPr>
                <w:rFonts w:ascii="Arial" w:hAnsi="Arial" w:cs="Arial"/>
                <w:color w:val="000000"/>
                <w:sz w:val="22"/>
                <w:szCs w:val="22"/>
              </w:rPr>
              <w:t>95</w:t>
            </w:r>
          </w:p>
        </w:tc>
        <w:tc>
          <w:tcPr>
            <w:tcW w:w="2945" w:type="dxa"/>
            <w:tcBorders>
              <w:top w:val="single" w:sz="4" w:space="0" w:color="8EA9DB"/>
              <w:left w:val="nil"/>
              <w:bottom w:val="single" w:sz="4" w:space="0" w:color="8EA9DB"/>
              <w:right w:val="single" w:sz="4" w:space="0" w:color="8EA9DB"/>
            </w:tcBorders>
            <w:shd w:val="clear" w:color="D9E1F2" w:fill="D9E1F2"/>
            <w:noWrap/>
            <w:vAlign w:val="bottom"/>
            <w:hideMark/>
          </w:tcPr>
          <w:p w:rsidR="008F1066" w:rsidRPr="002E62D1" w:rsidRDefault="008F1066" w:rsidP="00BC13F5">
            <w:pPr>
              <w:spacing w:line="360" w:lineRule="auto"/>
              <w:jc w:val="center"/>
              <w:rPr>
                <w:rFonts w:ascii="Arial" w:hAnsi="Arial" w:cs="Arial"/>
                <w:color w:val="000000"/>
                <w:sz w:val="22"/>
                <w:szCs w:val="22"/>
              </w:rPr>
            </w:pPr>
            <w:r w:rsidRPr="002E62D1">
              <w:rPr>
                <w:rFonts w:ascii="Arial" w:hAnsi="Arial" w:cs="Arial"/>
                <w:color w:val="000000"/>
                <w:sz w:val="22"/>
                <w:szCs w:val="22"/>
              </w:rPr>
              <w:t>6</w:t>
            </w:r>
            <w:r w:rsidR="00F3577C" w:rsidRPr="002E62D1">
              <w:rPr>
                <w:rFonts w:ascii="Arial" w:hAnsi="Arial" w:cs="Arial"/>
                <w:color w:val="000000"/>
                <w:sz w:val="22"/>
                <w:szCs w:val="22"/>
              </w:rPr>
              <w:t>7</w:t>
            </w:r>
            <w:r w:rsidRPr="002E62D1">
              <w:rPr>
                <w:rFonts w:ascii="Arial" w:hAnsi="Arial" w:cs="Arial"/>
                <w:color w:val="000000"/>
                <w:sz w:val="22"/>
                <w:szCs w:val="22"/>
              </w:rPr>
              <w:t>%</w:t>
            </w:r>
          </w:p>
        </w:tc>
      </w:tr>
      <w:tr w:rsidR="008F1066" w:rsidRPr="002E62D1" w:rsidTr="002E62D1">
        <w:trPr>
          <w:trHeight w:val="300"/>
        </w:trPr>
        <w:tc>
          <w:tcPr>
            <w:tcW w:w="2295" w:type="dxa"/>
            <w:tcBorders>
              <w:top w:val="single" w:sz="4" w:space="0" w:color="8EA9DB"/>
              <w:left w:val="single" w:sz="4" w:space="0" w:color="8EA9DB"/>
              <w:bottom w:val="single" w:sz="4" w:space="0" w:color="8EA9DB"/>
              <w:right w:val="nil"/>
            </w:tcBorders>
            <w:shd w:val="clear" w:color="auto" w:fill="auto"/>
            <w:noWrap/>
            <w:vAlign w:val="bottom"/>
            <w:hideMark/>
          </w:tcPr>
          <w:p w:rsidR="008F1066" w:rsidRPr="002E62D1" w:rsidRDefault="008F1066" w:rsidP="00BC13F5">
            <w:pPr>
              <w:spacing w:line="360" w:lineRule="auto"/>
              <w:rPr>
                <w:rFonts w:ascii="Arial" w:hAnsi="Arial" w:cs="Arial"/>
                <w:color w:val="000000"/>
                <w:sz w:val="22"/>
                <w:szCs w:val="22"/>
              </w:rPr>
            </w:pPr>
            <w:r w:rsidRPr="002E62D1">
              <w:rPr>
                <w:rFonts w:ascii="Arial" w:hAnsi="Arial" w:cs="Arial"/>
                <w:color w:val="000000"/>
                <w:sz w:val="22"/>
                <w:szCs w:val="22"/>
              </w:rPr>
              <w:t>2019/20</w:t>
            </w:r>
          </w:p>
        </w:tc>
        <w:tc>
          <w:tcPr>
            <w:tcW w:w="1815" w:type="dxa"/>
            <w:tcBorders>
              <w:top w:val="single" w:sz="4" w:space="0" w:color="8EA9DB"/>
              <w:left w:val="nil"/>
              <w:bottom w:val="single" w:sz="4" w:space="0" w:color="8EA9DB"/>
              <w:right w:val="nil"/>
            </w:tcBorders>
            <w:shd w:val="clear" w:color="auto" w:fill="auto"/>
            <w:noWrap/>
            <w:vAlign w:val="bottom"/>
            <w:hideMark/>
          </w:tcPr>
          <w:p w:rsidR="008F1066" w:rsidRPr="002E62D1" w:rsidRDefault="008F1066" w:rsidP="00BC13F5">
            <w:pPr>
              <w:spacing w:line="360" w:lineRule="auto"/>
              <w:jc w:val="center"/>
              <w:rPr>
                <w:rFonts w:ascii="Arial" w:hAnsi="Arial" w:cs="Arial"/>
                <w:color w:val="000000"/>
                <w:sz w:val="22"/>
                <w:szCs w:val="22"/>
              </w:rPr>
            </w:pPr>
            <w:r w:rsidRPr="002E62D1">
              <w:rPr>
                <w:rFonts w:ascii="Arial" w:hAnsi="Arial" w:cs="Arial"/>
                <w:color w:val="000000"/>
                <w:sz w:val="22"/>
                <w:szCs w:val="22"/>
              </w:rPr>
              <w:t>2</w:t>
            </w:r>
            <w:r w:rsidR="00F3577C" w:rsidRPr="002E62D1">
              <w:rPr>
                <w:rFonts w:ascii="Arial" w:hAnsi="Arial" w:cs="Arial"/>
                <w:color w:val="000000"/>
                <w:sz w:val="22"/>
                <w:szCs w:val="22"/>
              </w:rPr>
              <w:t xml:space="preserve"> 684</w:t>
            </w:r>
          </w:p>
        </w:tc>
        <w:tc>
          <w:tcPr>
            <w:tcW w:w="1987" w:type="dxa"/>
            <w:tcBorders>
              <w:top w:val="single" w:sz="4" w:space="0" w:color="8EA9DB"/>
              <w:left w:val="nil"/>
              <w:bottom w:val="single" w:sz="4" w:space="0" w:color="8EA9DB"/>
              <w:right w:val="nil"/>
            </w:tcBorders>
            <w:shd w:val="clear" w:color="auto" w:fill="auto"/>
            <w:noWrap/>
            <w:vAlign w:val="bottom"/>
            <w:hideMark/>
          </w:tcPr>
          <w:p w:rsidR="008F1066" w:rsidRPr="002E62D1" w:rsidRDefault="008F1066" w:rsidP="00BC13F5">
            <w:pPr>
              <w:spacing w:line="360" w:lineRule="auto"/>
              <w:jc w:val="center"/>
              <w:rPr>
                <w:rFonts w:ascii="Arial" w:hAnsi="Arial" w:cs="Arial"/>
                <w:color w:val="000000"/>
                <w:sz w:val="22"/>
                <w:szCs w:val="22"/>
              </w:rPr>
            </w:pPr>
            <w:r w:rsidRPr="002E62D1">
              <w:rPr>
                <w:rFonts w:ascii="Arial" w:hAnsi="Arial" w:cs="Arial"/>
                <w:color w:val="000000"/>
                <w:sz w:val="22"/>
                <w:szCs w:val="22"/>
              </w:rPr>
              <w:t>1</w:t>
            </w:r>
            <w:r w:rsidR="00F3577C" w:rsidRPr="002E62D1">
              <w:rPr>
                <w:rFonts w:ascii="Arial" w:hAnsi="Arial" w:cs="Arial"/>
                <w:color w:val="000000"/>
                <w:sz w:val="22"/>
                <w:szCs w:val="22"/>
              </w:rPr>
              <w:t xml:space="preserve"> 300</w:t>
            </w:r>
          </w:p>
        </w:tc>
        <w:tc>
          <w:tcPr>
            <w:tcW w:w="2945" w:type="dxa"/>
            <w:tcBorders>
              <w:top w:val="single" w:sz="4" w:space="0" w:color="8EA9DB"/>
              <w:left w:val="nil"/>
              <w:bottom w:val="single" w:sz="4" w:space="0" w:color="8EA9DB"/>
              <w:right w:val="single" w:sz="4" w:space="0" w:color="8EA9DB"/>
            </w:tcBorders>
            <w:shd w:val="clear" w:color="auto" w:fill="auto"/>
            <w:noWrap/>
            <w:vAlign w:val="bottom"/>
            <w:hideMark/>
          </w:tcPr>
          <w:p w:rsidR="008F1066" w:rsidRPr="002E62D1" w:rsidRDefault="008F1066" w:rsidP="00BC13F5">
            <w:pPr>
              <w:spacing w:line="360" w:lineRule="auto"/>
              <w:jc w:val="center"/>
              <w:rPr>
                <w:rFonts w:ascii="Arial" w:hAnsi="Arial" w:cs="Arial"/>
                <w:color w:val="000000"/>
                <w:sz w:val="22"/>
                <w:szCs w:val="22"/>
              </w:rPr>
            </w:pPr>
            <w:r w:rsidRPr="002E62D1">
              <w:rPr>
                <w:rFonts w:ascii="Arial" w:hAnsi="Arial" w:cs="Arial"/>
                <w:color w:val="000000"/>
                <w:sz w:val="22"/>
                <w:szCs w:val="22"/>
              </w:rPr>
              <w:t>67%</w:t>
            </w:r>
          </w:p>
        </w:tc>
      </w:tr>
      <w:tr w:rsidR="008F1066" w:rsidRPr="002E62D1" w:rsidTr="002E62D1">
        <w:trPr>
          <w:trHeight w:val="300"/>
        </w:trPr>
        <w:tc>
          <w:tcPr>
            <w:tcW w:w="2295" w:type="dxa"/>
            <w:tcBorders>
              <w:top w:val="single" w:sz="4" w:space="0" w:color="8EA9DB"/>
              <w:left w:val="single" w:sz="4" w:space="0" w:color="8EA9DB"/>
              <w:bottom w:val="single" w:sz="4" w:space="0" w:color="8EA9DB"/>
              <w:right w:val="nil"/>
            </w:tcBorders>
            <w:shd w:val="clear" w:color="D9E1F2" w:fill="D9E1F2"/>
            <w:noWrap/>
            <w:vAlign w:val="bottom"/>
            <w:hideMark/>
          </w:tcPr>
          <w:p w:rsidR="008F1066" w:rsidRPr="002E62D1" w:rsidRDefault="008F1066" w:rsidP="00BC13F5">
            <w:pPr>
              <w:spacing w:line="360" w:lineRule="auto"/>
              <w:rPr>
                <w:rFonts w:ascii="Arial" w:hAnsi="Arial" w:cs="Arial"/>
                <w:color w:val="000000"/>
                <w:sz w:val="22"/>
                <w:szCs w:val="22"/>
              </w:rPr>
            </w:pPr>
            <w:r w:rsidRPr="002E62D1">
              <w:rPr>
                <w:rFonts w:ascii="Arial" w:hAnsi="Arial" w:cs="Arial"/>
                <w:color w:val="000000"/>
                <w:sz w:val="22"/>
                <w:szCs w:val="22"/>
              </w:rPr>
              <w:t>2020/21</w:t>
            </w:r>
          </w:p>
        </w:tc>
        <w:tc>
          <w:tcPr>
            <w:tcW w:w="1815" w:type="dxa"/>
            <w:tcBorders>
              <w:top w:val="single" w:sz="4" w:space="0" w:color="8EA9DB"/>
              <w:left w:val="nil"/>
              <w:bottom w:val="single" w:sz="4" w:space="0" w:color="8EA9DB"/>
              <w:right w:val="nil"/>
            </w:tcBorders>
            <w:shd w:val="clear" w:color="D9E1F2" w:fill="D9E1F2"/>
            <w:noWrap/>
            <w:vAlign w:val="bottom"/>
            <w:hideMark/>
          </w:tcPr>
          <w:p w:rsidR="008F1066" w:rsidRPr="002E62D1" w:rsidRDefault="008F1066" w:rsidP="00BC13F5">
            <w:pPr>
              <w:spacing w:line="360" w:lineRule="auto"/>
              <w:jc w:val="center"/>
              <w:rPr>
                <w:rFonts w:ascii="Arial" w:hAnsi="Arial" w:cs="Arial"/>
                <w:color w:val="000000"/>
                <w:sz w:val="22"/>
                <w:szCs w:val="22"/>
              </w:rPr>
            </w:pPr>
            <w:r w:rsidRPr="002E62D1">
              <w:rPr>
                <w:rFonts w:ascii="Arial" w:hAnsi="Arial" w:cs="Arial"/>
                <w:color w:val="000000"/>
                <w:sz w:val="22"/>
                <w:szCs w:val="22"/>
              </w:rPr>
              <w:t>4</w:t>
            </w:r>
            <w:r w:rsidR="00F3577C" w:rsidRPr="002E62D1">
              <w:rPr>
                <w:rFonts w:ascii="Arial" w:hAnsi="Arial" w:cs="Arial"/>
                <w:color w:val="000000"/>
                <w:sz w:val="22"/>
                <w:szCs w:val="22"/>
              </w:rPr>
              <w:t>35</w:t>
            </w:r>
          </w:p>
        </w:tc>
        <w:tc>
          <w:tcPr>
            <w:tcW w:w="1987" w:type="dxa"/>
            <w:tcBorders>
              <w:top w:val="single" w:sz="4" w:space="0" w:color="8EA9DB"/>
              <w:left w:val="nil"/>
              <w:bottom w:val="single" w:sz="4" w:space="0" w:color="8EA9DB"/>
              <w:right w:val="nil"/>
            </w:tcBorders>
            <w:shd w:val="clear" w:color="D9E1F2" w:fill="D9E1F2"/>
            <w:noWrap/>
            <w:vAlign w:val="bottom"/>
            <w:hideMark/>
          </w:tcPr>
          <w:p w:rsidR="008F1066" w:rsidRPr="002E62D1" w:rsidRDefault="008F1066" w:rsidP="00BC13F5">
            <w:pPr>
              <w:spacing w:line="360" w:lineRule="auto"/>
              <w:jc w:val="center"/>
              <w:rPr>
                <w:rFonts w:ascii="Arial" w:hAnsi="Arial" w:cs="Arial"/>
                <w:color w:val="000000"/>
                <w:sz w:val="22"/>
                <w:szCs w:val="22"/>
              </w:rPr>
            </w:pPr>
            <w:r w:rsidRPr="002E62D1">
              <w:rPr>
                <w:rFonts w:ascii="Arial" w:hAnsi="Arial" w:cs="Arial"/>
                <w:color w:val="000000"/>
                <w:sz w:val="22"/>
                <w:szCs w:val="22"/>
              </w:rPr>
              <w:t>18</w:t>
            </w:r>
            <w:r w:rsidR="00F3577C" w:rsidRPr="002E62D1">
              <w:rPr>
                <w:rFonts w:ascii="Arial" w:hAnsi="Arial" w:cs="Arial"/>
                <w:color w:val="000000"/>
                <w:sz w:val="22"/>
                <w:szCs w:val="22"/>
              </w:rPr>
              <w:t>2</w:t>
            </w:r>
          </w:p>
        </w:tc>
        <w:tc>
          <w:tcPr>
            <w:tcW w:w="2945" w:type="dxa"/>
            <w:tcBorders>
              <w:top w:val="single" w:sz="4" w:space="0" w:color="8EA9DB"/>
              <w:left w:val="nil"/>
              <w:bottom w:val="single" w:sz="4" w:space="0" w:color="8EA9DB"/>
              <w:right w:val="single" w:sz="4" w:space="0" w:color="8EA9DB"/>
            </w:tcBorders>
            <w:shd w:val="clear" w:color="D9E1F2" w:fill="D9E1F2"/>
            <w:noWrap/>
            <w:vAlign w:val="bottom"/>
            <w:hideMark/>
          </w:tcPr>
          <w:p w:rsidR="008F1066" w:rsidRPr="002E62D1" w:rsidRDefault="008F1066" w:rsidP="00BC13F5">
            <w:pPr>
              <w:spacing w:line="360" w:lineRule="auto"/>
              <w:jc w:val="center"/>
              <w:rPr>
                <w:rFonts w:ascii="Arial" w:hAnsi="Arial" w:cs="Arial"/>
                <w:color w:val="000000"/>
                <w:sz w:val="22"/>
                <w:szCs w:val="22"/>
              </w:rPr>
            </w:pPr>
            <w:r w:rsidRPr="002E62D1">
              <w:rPr>
                <w:rFonts w:ascii="Arial" w:hAnsi="Arial" w:cs="Arial"/>
                <w:color w:val="000000"/>
                <w:sz w:val="22"/>
                <w:szCs w:val="22"/>
              </w:rPr>
              <w:t>7</w:t>
            </w:r>
            <w:r w:rsidR="00F3577C" w:rsidRPr="002E62D1">
              <w:rPr>
                <w:rFonts w:ascii="Arial" w:hAnsi="Arial" w:cs="Arial"/>
                <w:color w:val="000000"/>
                <w:sz w:val="22"/>
                <w:szCs w:val="22"/>
              </w:rPr>
              <w:t>1</w:t>
            </w:r>
            <w:r w:rsidRPr="002E62D1">
              <w:rPr>
                <w:rFonts w:ascii="Arial" w:hAnsi="Arial" w:cs="Arial"/>
                <w:color w:val="000000"/>
                <w:sz w:val="22"/>
                <w:szCs w:val="22"/>
              </w:rPr>
              <w:t>%</w:t>
            </w:r>
          </w:p>
        </w:tc>
      </w:tr>
      <w:tr w:rsidR="008F1066" w:rsidRPr="002E62D1" w:rsidTr="002E62D1">
        <w:trPr>
          <w:trHeight w:val="300"/>
        </w:trPr>
        <w:tc>
          <w:tcPr>
            <w:tcW w:w="2295" w:type="dxa"/>
            <w:tcBorders>
              <w:top w:val="single" w:sz="4" w:space="0" w:color="8EA9DB"/>
              <w:left w:val="single" w:sz="4" w:space="0" w:color="8EA9DB"/>
              <w:bottom w:val="single" w:sz="4" w:space="0" w:color="8EA9DB"/>
              <w:right w:val="nil"/>
            </w:tcBorders>
            <w:shd w:val="clear" w:color="auto" w:fill="auto"/>
            <w:noWrap/>
            <w:vAlign w:val="bottom"/>
            <w:hideMark/>
          </w:tcPr>
          <w:p w:rsidR="008F1066" w:rsidRPr="002E62D1" w:rsidRDefault="008F1066" w:rsidP="00BC13F5">
            <w:pPr>
              <w:spacing w:line="360" w:lineRule="auto"/>
              <w:rPr>
                <w:rFonts w:ascii="Arial" w:hAnsi="Arial" w:cs="Arial"/>
                <w:color w:val="000000"/>
                <w:sz w:val="22"/>
                <w:szCs w:val="22"/>
              </w:rPr>
            </w:pPr>
            <w:r w:rsidRPr="002E62D1">
              <w:rPr>
                <w:rFonts w:ascii="Arial" w:hAnsi="Arial" w:cs="Arial"/>
                <w:color w:val="000000"/>
                <w:sz w:val="22"/>
                <w:szCs w:val="22"/>
              </w:rPr>
              <w:t>2021/22</w:t>
            </w:r>
          </w:p>
        </w:tc>
        <w:tc>
          <w:tcPr>
            <w:tcW w:w="1815" w:type="dxa"/>
            <w:tcBorders>
              <w:top w:val="single" w:sz="4" w:space="0" w:color="8EA9DB"/>
              <w:left w:val="nil"/>
              <w:bottom w:val="single" w:sz="4" w:space="0" w:color="8EA9DB"/>
              <w:right w:val="nil"/>
            </w:tcBorders>
            <w:shd w:val="clear" w:color="auto" w:fill="auto"/>
            <w:noWrap/>
            <w:vAlign w:val="bottom"/>
            <w:hideMark/>
          </w:tcPr>
          <w:p w:rsidR="008F1066" w:rsidRPr="002E62D1" w:rsidRDefault="008F1066" w:rsidP="00BC13F5">
            <w:pPr>
              <w:spacing w:line="360" w:lineRule="auto"/>
              <w:jc w:val="center"/>
              <w:rPr>
                <w:rFonts w:ascii="Arial" w:hAnsi="Arial" w:cs="Arial"/>
                <w:color w:val="000000"/>
                <w:sz w:val="22"/>
                <w:szCs w:val="22"/>
              </w:rPr>
            </w:pPr>
            <w:r w:rsidRPr="002E62D1">
              <w:rPr>
                <w:rFonts w:ascii="Arial" w:hAnsi="Arial" w:cs="Arial"/>
                <w:color w:val="000000"/>
                <w:sz w:val="22"/>
                <w:szCs w:val="22"/>
              </w:rPr>
              <w:t>1</w:t>
            </w:r>
            <w:r w:rsidR="00F3577C" w:rsidRPr="002E62D1">
              <w:rPr>
                <w:rFonts w:ascii="Arial" w:hAnsi="Arial" w:cs="Arial"/>
                <w:color w:val="000000"/>
                <w:sz w:val="22"/>
                <w:szCs w:val="22"/>
              </w:rPr>
              <w:t xml:space="preserve"> 821</w:t>
            </w:r>
          </w:p>
        </w:tc>
        <w:tc>
          <w:tcPr>
            <w:tcW w:w="1987" w:type="dxa"/>
            <w:tcBorders>
              <w:top w:val="single" w:sz="4" w:space="0" w:color="8EA9DB"/>
              <w:left w:val="nil"/>
              <w:bottom w:val="single" w:sz="4" w:space="0" w:color="8EA9DB"/>
              <w:right w:val="nil"/>
            </w:tcBorders>
            <w:shd w:val="clear" w:color="auto" w:fill="auto"/>
            <w:noWrap/>
            <w:vAlign w:val="bottom"/>
            <w:hideMark/>
          </w:tcPr>
          <w:p w:rsidR="008F1066" w:rsidRPr="002E62D1" w:rsidRDefault="008F1066" w:rsidP="00BC13F5">
            <w:pPr>
              <w:spacing w:line="360" w:lineRule="auto"/>
              <w:jc w:val="center"/>
              <w:rPr>
                <w:rFonts w:ascii="Arial" w:hAnsi="Arial" w:cs="Arial"/>
                <w:color w:val="000000"/>
                <w:sz w:val="22"/>
                <w:szCs w:val="22"/>
              </w:rPr>
            </w:pPr>
            <w:r w:rsidRPr="002E62D1">
              <w:rPr>
                <w:rFonts w:ascii="Arial" w:hAnsi="Arial" w:cs="Arial"/>
                <w:color w:val="000000"/>
                <w:sz w:val="22"/>
                <w:szCs w:val="22"/>
              </w:rPr>
              <w:t>9</w:t>
            </w:r>
            <w:r w:rsidR="00F3577C" w:rsidRPr="002E62D1">
              <w:rPr>
                <w:rFonts w:ascii="Arial" w:hAnsi="Arial" w:cs="Arial"/>
                <w:color w:val="000000"/>
                <w:sz w:val="22"/>
                <w:szCs w:val="22"/>
              </w:rPr>
              <w:t>68</w:t>
            </w:r>
          </w:p>
        </w:tc>
        <w:tc>
          <w:tcPr>
            <w:tcW w:w="2945" w:type="dxa"/>
            <w:tcBorders>
              <w:top w:val="single" w:sz="4" w:space="0" w:color="8EA9DB"/>
              <w:left w:val="nil"/>
              <w:bottom w:val="single" w:sz="4" w:space="0" w:color="8EA9DB"/>
              <w:right w:val="single" w:sz="4" w:space="0" w:color="8EA9DB"/>
            </w:tcBorders>
            <w:shd w:val="clear" w:color="auto" w:fill="auto"/>
            <w:noWrap/>
            <w:vAlign w:val="bottom"/>
            <w:hideMark/>
          </w:tcPr>
          <w:p w:rsidR="008F1066" w:rsidRPr="002E62D1" w:rsidRDefault="008F1066" w:rsidP="00BC13F5">
            <w:pPr>
              <w:spacing w:line="360" w:lineRule="auto"/>
              <w:jc w:val="center"/>
              <w:rPr>
                <w:rFonts w:ascii="Arial" w:hAnsi="Arial" w:cs="Arial"/>
                <w:color w:val="000000"/>
                <w:sz w:val="22"/>
                <w:szCs w:val="22"/>
              </w:rPr>
            </w:pPr>
            <w:r w:rsidRPr="002E62D1">
              <w:rPr>
                <w:rFonts w:ascii="Arial" w:hAnsi="Arial" w:cs="Arial"/>
                <w:color w:val="000000"/>
                <w:sz w:val="22"/>
                <w:szCs w:val="22"/>
              </w:rPr>
              <w:t>65%</w:t>
            </w:r>
          </w:p>
        </w:tc>
      </w:tr>
    </w:tbl>
    <w:p w:rsidR="00BC13F5" w:rsidRDefault="00BC13F5" w:rsidP="00BC13F5">
      <w:pPr>
        <w:spacing w:before="120" w:after="120" w:line="360" w:lineRule="auto"/>
        <w:ind w:left="360"/>
        <w:jc w:val="both"/>
        <w:rPr>
          <w:rFonts w:ascii="Arial" w:hAnsi="Arial" w:cs="Arial"/>
          <w:lang w:val="en-ZA"/>
        </w:rPr>
      </w:pPr>
    </w:p>
    <w:p w:rsidR="00F3577C" w:rsidRDefault="00F3577C" w:rsidP="00BC13F5">
      <w:pPr>
        <w:spacing w:before="120" w:after="120" w:line="360" w:lineRule="auto"/>
        <w:ind w:left="360"/>
        <w:jc w:val="both"/>
        <w:rPr>
          <w:rFonts w:ascii="Arial" w:hAnsi="Arial" w:cs="Arial"/>
          <w:lang w:val="en-ZA"/>
        </w:rPr>
      </w:pPr>
      <w:r>
        <w:rPr>
          <w:rFonts w:ascii="Arial" w:hAnsi="Arial" w:cs="Arial"/>
          <w:lang w:val="en-ZA"/>
        </w:rPr>
        <w:t xml:space="preserve">Although no electronic system for the recording of court cases have been introduced for the High courts, the general conviction rates of the High courts, which include the charges of rape, is reflected in the </w:t>
      </w:r>
      <w:r w:rsidR="00BC13F5">
        <w:rPr>
          <w:rFonts w:ascii="Arial" w:hAnsi="Arial" w:cs="Arial"/>
          <w:lang w:val="en-ZA"/>
        </w:rPr>
        <w:t>t</w:t>
      </w:r>
      <w:r>
        <w:rPr>
          <w:rFonts w:ascii="Arial" w:hAnsi="Arial" w:cs="Arial"/>
          <w:lang w:val="en-ZA"/>
        </w:rPr>
        <w:t>able below:</w:t>
      </w:r>
    </w:p>
    <w:tbl>
      <w:tblPr>
        <w:tblW w:w="9042" w:type="dxa"/>
        <w:tblInd w:w="534" w:type="dxa"/>
        <w:tblLook w:val="04A0"/>
      </w:tblPr>
      <w:tblGrid>
        <w:gridCol w:w="2295"/>
        <w:gridCol w:w="1957"/>
        <w:gridCol w:w="1845"/>
        <w:gridCol w:w="2945"/>
      </w:tblGrid>
      <w:tr w:rsidR="00A349E9" w:rsidRPr="00BC13F5" w:rsidTr="002E62D1">
        <w:trPr>
          <w:trHeight w:val="300"/>
        </w:trPr>
        <w:tc>
          <w:tcPr>
            <w:tcW w:w="2295" w:type="dxa"/>
            <w:tcBorders>
              <w:top w:val="single" w:sz="4" w:space="0" w:color="8EA9DB"/>
              <w:left w:val="single" w:sz="4" w:space="0" w:color="8EA9DB"/>
              <w:bottom w:val="single" w:sz="4" w:space="0" w:color="8EA9DB"/>
              <w:right w:val="nil"/>
            </w:tcBorders>
            <w:shd w:val="clear" w:color="4472C4" w:fill="4472C4"/>
            <w:noWrap/>
            <w:vAlign w:val="center"/>
            <w:hideMark/>
          </w:tcPr>
          <w:p w:rsidR="00A349E9" w:rsidRPr="00BC13F5" w:rsidRDefault="00A349E9" w:rsidP="00BC13F5">
            <w:pPr>
              <w:spacing w:line="360" w:lineRule="auto"/>
              <w:jc w:val="center"/>
              <w:rPr>
                <w:rFonts w:ascii="Arial" w:hAnsi="Arial" w:cs="Arial"/>
                <w:b/>
                <w:bCs/>
                <w:color w:val="FFFFFF"/>
                <w:sz w:val="22"/>
                <w:szCs w:val="22"/>
              </w:rPr>
            </w:pPr>
            <w:r w:rsidRPr="00BC13F5">
              <w:rPr>
                <w:rFonts w:ascii="Arial" w:hAnsi="Arial" w:cs="Arial"/>
                <w:b/>
                <w:bCs/>
                <w:color w:val="FFFFFF"/>
                <w:sz w:val="22"/>
                <w:szCs w:val="22"/>
              </w:rPr>
              <w:t>YEAR</w:t>
            </w:r>
          </w:p>
        </w:tc>
        <w:tc>
          <w:tcPr>
            <w:tcW w:w="1957" w:type="dxa"/>
            <w:tcBorders>
              <w:top w:val="single" w:sz="4" w:space="0" w:color="8EA9DB"/>
              <w:left w:val="nil"/>
              <w:bottom w:val="single" w:sz="4" w:space="0" w:color="8EA9DB"/>
              <w:right w:val="nil"/>
            </w:tcBorders>
            <w:shd w:val="clear" w:color="4472C4" w:fill="4472C4"/>
            <w:noWrap/>
            <w:vAlign w:val="center"/>
            <w:hideMark/>
          </w:tcPr>
          <w:p w:rsidR="00A349E9" w:rsidRPr="00BC13F5" w:rsidRDefault="00A349E9" w:rsidP="00BC13F5">
            <w:pPr>
              <w:spacing w:line="360" w:lineRule="auto"/>
              <w:jc w:val="center"/>
              <w:rPr>
                <w:rFonts w:ascii="Arial" w:hAnsi="Arial" w:cs="Arial"/>
                <w:b/>
                <w:bCs/>
                <w:color w:val="FFFFFF"/>
                <w:sz w:val="22"/>
                <w:szCs w:val="22"/>
              </w:rPr>
            </w:pPr>
            <w:r w:rsidRPr="00BC13F5">
              <w:rPr>
                <w:rFonts w:ascii="Arial" w:hAnsi="Arial" w:cs="Arial"/>
                <w:b/>
                <w:bCs/>
                <w:color w:val="FFFFFF"/>
                <w:sz w:val="22"/>
                <w:szCs w:val="22"/>
              </w:rPr>
              <w:t>CONVICTIONS</w:t>
            </w:r>
          </w:p>
        </w:tc>
        <w:tc>
          <w:tcPr>
            <w:tcW w:w="1845" w:type="dxa"/>
            <w:tcBorders>
              <w:top w:val="single" w:sz="4" w:space="0" w:color="8EA9DB"/>
              <w:left w:val="nil"/>
              <w:bottom w:val="single" w:sz="4" w:space="0" w:color="8EA9DB"/>
              <w:right w:val="nil"/>
            </w:tcBorders>
            <w:shd w:val="clear" w:color="4472C4" w:fill="4472C4"/>
            <w:noWrap/>
            <w:vAlign w:val="center"/>
            <w:hideMark/>
          </w:tcPr>
          <w:p w:rsidR="00A349E9" w:rsidRPr="00BC13F5" w:rsidRDefault="00A349E9" w:rsidP="00BC13F5">
            <w:pPr>
              <w:spacing w:line="360" w:lineRule="auto"/>
              <w:jc w:val="center"/>
              <w:rPr>
                <w:rFonts w:ascii="Arial" w:hAnsi="Arial" w:cs="Arial"/>
                <w:b/>
                <w:bCs/>
                <w:color w:val="FFFFFF"/>
                <w:sz w:val="22"/>
                <w:szCs w:val="22"/>
              </w:rPr>
            </w:pPr>
            <w:r w:rsidRPr="00BC13F5">
              <w:rPr>
                <w:rFonts w:ascii="Arial" w:hAnsi="Arial" w:cs="Arial"/>
                <w:b/>
                <w:bCs/>
                <w:color w:val="FFFFFF"/>
                <w:sz w:val="22"/>
                <w:szCs w:val="22"/>
              </w:rPr>
              <w:t>ACQUITTALS</w:t>
            </w:r>
          </w:p>
        </w:tc>
        <w:tc>
          <w:tcPr>
            <w:tcW w:w="2945" w:type="dxa"/>
            <w:tcBorders>
              <w:top w:val="single" w:sz="4" w:space="0" w:color="8EA9DB"/>
              <w:left w:val="nil"/>
              <w:bottom w:val="single" w:sz="4" w:space="0" w:color="8EA9DB"/>
              <w:right w:val="single" w:sz="4" w:space="0" w:color="8EA9DB"/>
            </w:tcBorders>
            <w:shd w:val="clear" w:color="4472C4" w:fill="4472C4"/>
            <w:noWrap/>
            <w:vAlign w:val="center"/>
            <w:hideMark/>
          </w:tcPr>
          <w:p w:rsidR="00A349E9" w:rsidRPr="00BC13F5" w:rsidRDefault="00A349E9" w:rsidP="00BC13F5">
            <w:pPr>
              <w:spacing w:line="360" w:lineRule="auto"/>
              <w:jc w:val="center"/>
              <w:rPr>
                <w:rFonts w:ascii="Arial" w:hAnsi="Arial" w:cs="Arial"/>
                <w:b/>
                <w:bCs/>
                <w:color w:val="FFFFFF"/>
                <w:sz w:val="22"/>
                <w:szCs w:val="22"/>
              </w:rPr>
            </w:pPr>
            <w:r w:rsidRPr="00BC13F5">
              <w:rPr>
                <w:rFonts w:ascii="Arial" w:hAnsi="Arial" w:cs="Arial"/>
                <w:b/>
                <w:bCs/>
                <w:color w:val="FFFFFF"/>
                <w:sz w:val="22"/>
                <w:szCs w:val="22"/>
              </w:rPr>
              <w:t>CONVICTION RATE</w:t>
            </w:r>
          </w:p>
        </w:tc>
      </w:tr>
      <w:tr w:rsidR="00A349E9" w:rsidRPr="00BC13F5" w:rsidTr="002E62D1">
        <w:trPr>
          <w:trHeight w:val="300"/>
        </w:trPr>
        <w:tc>
          <w:tcPr>
            <w:tcW w:w="2295" w:type="dxa"/>
            <w:tcBorders>
              <w:top w:val="single" w:sz="4" w:space="0" w:color="8EA9DB"/>
              <w:left w:val="single" w:sz="4" w:space="0" w:color="8EA9DB"/>
              <w:bottom w:val="single" w:sz="4" w:space="0" w:color="8EA9DB"/>
              <w:right w:val="nil"/>
            </w:tcBorders>
            <w:shd w:val="clear" w:color="D9E1F2" w:fill="D9E1F2"/>
            <w:noWrap/>
            <w:vAlign w:val="bottom"/>
            <w:hideMark/>
          </w:tcPr>
          <w:p w:rsidR="00A349E9" w:rsidRPr="00BC13F5" w:rsidRDefault="00A349E9" w:rsidP="00BC13F5">
            <w:pPr>
              <w:spacing w:line="360" w:lineRule="auto"/>
              <w:rPr>
                <w:rFonts w:ascii="Arial" w:hAnsi="Arial" w:cs="Arial"/>
                <w:color w:val="000000"/>
                <w:sz w:val="22"/>
                <w:szCs w:val="22"/>
              </w:rPr>
            </w:pPr>
            <w:r w:rsidRPr="00BC13F5">
              <w:rPr>
                <w:rFonts w:ascii="Arial" w:hAnsi="Arial" w:cs="Arial"/>
                <w:color w:val="000000"/>
                <w:sz w:val="22"/>
                <w:szCs w:val="22"/>
              </w:rPr>
              <w:t>2018/19</w:t>
            </w:r>
          </w:p>
        </w:tc>
        <w:tc>
          <w:tcPr>
            <w:tcW w:w="1957" w:type="dxa"/>
            <w:tcBorders>
              <w:top w:val="single" w:sz="4" w:space="0" w:color="8EA9DB"/>
              <w:left w:val="nil"/>
              <w:bottom w:val="single" w:sz="4" w:space="0" w:color="8EA9DB"/>
              <w:right w:val="nil"/>
            </w:tcBorders>
            <w:shd w:val="clear" w:color="D9E1F2" w:fill="D9E1F2"/>
            <w:noWrap/>
            <w:vAlign w:val="bottom"/>
            <w:hideMark/>
          </w:tcPr>
          <w:p w:rsidR="00A349E9" w:rsidRPr="00BC13F5" w:rsidRDefault="006B722A" w:rsidP="00BC13F5">
            <w:pPr>
              <w:spacing w:line="360" w:lineRule="auto"/>
              <w:jc w:val="center"/>
              <w:rPr>
                <w:rFonts w:ascii="Arial" w:hAnsi="Arial" w:cs="Arial"/>
                <w:color w:val="000000"/>
                <w:sz w:val="22"/>
                <w:szCs w:val="22"/>
              </w:rPr>
            </w:pPr>
            <w:r w:rsidRPr="00BC13F5">
              <w:rPr>
                <w:rFonts w:ascii="Arial" w:hAnsi="Arial" w:cs="Arial"/>
                <w:color w:val="000000"/>
                <w:sz w:val="22"/>
                <w:szCs w:val="22"/>
              </w:rPr>
              <w:t>868</w:t>
            </w:r>
          </w:p>
        </w:tc>
        <w:tc>
          <w:tcPr>
            <w:tcW w:w="1845" w:type="dxa"/>
            <w:tcBorders>
              <w:top w:val="single" w:sz="4" w:space="0" w:color="8EA9DB"/>
              <w:left w:val="nil"/>
              <w:bottom w:val="single" w:sz="4" w:space="0" w:color="8EA9DB"/>
              <w:right w:val="nil"/>
            </w:tcBorders>
            <w:shd w:val="clear" w:color="D9E1F2" w:fill="D9E1F2"/>
            <w:noWrap/>
            <w:vAlign w:val="bottom"/>
            <w:hideMark/>
          </w:tcPr>
          <w:p w:rsidR="00A349E9" w:rsidRPr="00BC13F5" w:rsidRDefault="006B722A" w:rsidP="00BC13F5">
            <w:pPr>
              <w:spacing w:line="360" w:lineRule="auto"/>
              <w:jc w:val="center"/>
              <w:rPr>
                <w:rFonts w:ascii="Arial" w:hAnsi="Arial" w:cs="Arial"/>
                <w:color w:val="000000"/>
                <w:sz w:val="22"/>
                <w:szCs w:val="22"/>
              </w:rPr>
            </w:pPr>
            <w:r w:rsidRPr="00BC13F5">
              <w:rPr>
                <w:rFonts w:ascii="Arial" w:hAnsi="Arial" w:cs="Arial"/>
                <w:color w:val="000000"/>
                <w:sz w:val="22"/>
                <w:szCs w:val="22"/>
              </w:rPr>
              <w:t>97</w:t>
            </w:r>
          </w:p>
        </w:tc>
        <w:tc>
          <w:tcPr>
            <w:tcW w:w="2945" w:type="dxa"/>
            <w:tcBorders>
              <w:top w:val="single" w:sz="4" w:space="0" w:color="8EA9DB"/>
              <w:left w:val="nil"/>
              <w:bottom w:val="single" w:sz="4" w:space="0" w:color="8EA9DB"/>
              <w:right w:val="single" w:sz="4" w:space="0" w:color="8EA9DB"/>
            </w:tcBorders>
            <w:shd w:val="clear" w:color="D9E1F2" w:fill="D9E1F2"/>
            <w:noWrap/>
            <w:vAlign w:val="bottom"/>
            <w:hideMark/>
          </w:tcPr>
          <w:p w:rsidR="00A349E9" w:rsidRPr="00BC13F5" w:rsidRDefault="006B722A" w:rsidP="00BC13F5">
            <w:pPr>
              <w:spacing w:line="360" w:lineRule="auto"/>
              <w:jc w:val="center"/>
              <w:rPr>
                <w:rFonts w:ascii="Arial" w:hAnsi="Arial" w:cs="Arial"/>
                <w:color w:val="000000"/>
                <w:sz w:val="22"/>
                <w:szCs w:val="22"/>
              </w:rPr>
            </w:pPr>
            <w:r w:rsidRPr="00BC13F5">
              <w:rPr>
                <w:rFonts w:ascii="Arial" w:hAnsi="Arial" w:cs="Arial"/>
                <w:color w:val="000000"/>
                <w:sz w:val="22"/>
                <w:szCs w:val="22"/>
              </w:rPr>
              <w:t>90</w:t>
            </w:r>
            <w:r w:rsidR="00A349E9" w:rsidRPr="00BC13F5">
              <w:rPr>
                <w:rFonts w:ascii="Arial" w:hAnsi="Arial" w:cs="Arial"/>
                <w:color w:val="000000"/>
                <w:sz w:val="22"/>
                <w:szCs w:val="22"/>
              </w:rPr>
              <w:t>%</w:t>
            </w:r>
          </w:p>
        </w:tc>
      </w:tr>
      <w:tr w:rsidR="00A349E9" w:rsidRPr="00BC13F5" w:rsidTr="002E62D1">
        <w:trPr>
          <w:trHeight w:val="300"/>
        </w:trPr>
        <w:tc>
          <w:tcPr>
            <w:tcW w:w="2295" w:type="dxa"/>
            <w:tcBorders>
              <w:top w:val="single" w:sz="4" w:space="0" w:color="8EA9DB"/>
              <w:left w:val="single" w:sz="4" w:space="0" w:color="8EA9DB"/>
              <w:bottom w:val="single" w:sz="4" w:space="0" w:color="8EA9DB"/>
              <w:right w:val="nil"/>
            </w:tcBorders>
            <w:shd w:val="clear" w:color="auto" w:fill="auto"/>
            <w:noWrap/>
            <w:vAlign w:val="bottom"/>
            <w:hideMark/>
          </w:tcPr>
          <w:p w:rsidR="00A349E9" w:rsidRPr="00BC13F5" w:rsidRDefault="00A349E9" w:rsidP="00BC13F5">
            <w:pPr>
              <w:spacing w:line="360" w:lineRule="auto"/>
              <w:rPr>
                <w:rFonts w:ascii="Arial" w:hAnsi="Arial" w:cs="Arial"/>
                <w:color w:val="000000"/>
                <w:sz w:val="22"/>
                <w:szCs w:val="22"/>
              </w:rPr>
            </w:pPr>
            <w:r w:rsidRPr="00BC13F5">
              <w:rPr>
                <w:rFonts w:ascii="Arial" w:hAnsi="Arial" w:cs="Arial"/>
                <w:color w:val="000000"/>
                <w:sz w:val="22"/>
                <w:szCs w:val="22"/>
              </w:rPr>
              <w:t>2019/20</w:t>
            </w:r>
          </w:p>
        </w:tc>
        <w:tc>
          <w:tcPr>
            <w:tcW w:w="1957" w:type="dxa"/>
            <w:tcBorders>
              <w:top w:val="single" w:sz="4" w:space="0" w:color="8EA9DB"/>
              <w:left w:val="nil"/>
              <w:bottom w:val="single" w:sz="4" w:space="0" w:color="8EA9DB"/>
              <w:right w:val="nil"/>
            </w:tcBorders>
            <w:shd w:val="clear" w:color="auto" w:fill="auto"/>
            <w:noWrap/>
            <w:vAlign w:val="bottom"/>
            <w:hideMark/>
          </w:tcPr>
          <w:p w:rsidR="00A349E9" w:rsidRPr="00BC13F5" w:rsidRDefault="006B722A" w:rsidP="00BC13F5">
            <w:pPr>
              <w:spacing w:line="360" w:lineRule="auto"/>
              <w:jc w:val="center"/>
              <w:rPr>
                <w:rFonts w:ascii="Arial" w:hAnsi="Arial" w:cs="Arial"/>
                <w:color w:val="000000"/>
                <w:sz w:val="22"/>
                <w:szCs w:val="22"/>
              </w:rPr>
            </w:pPr>
            <w:r w:rsidRPr="00BC13F5">
              <w:rPr>
                <w:rFonts w:ascii="Arial" w:hAnsi="Arial" w:cs="Arial"/>
                <w:color w:val="000000"/>
                <w:sz w:val="22"/>
                <w:szCs w:val="22"/>
              </w:rPr>
              <w:t>782</w:t>
            </w:r>
          </w:p>
        </w:tc>
        <w:tc>
          <w:tcPr>
            <w:tcW w:w="1845" w:type="dxa"/>
            <w:tcBorders>
              <w:top w:val="single" w:sz="4" w:space="0" w:color="8EA9DB"/>
              <w:left w:val="nil"/>
              <w:bottom w:val="single" w:sz="4" w:space="0" w:color="8EA9DB"/>
              <w:right w:val="nil"/>
            </w:tcBorders>
            <w:shd w:val="clear" w:color="auto" w:fill="auto"/>
            <w:noWrap/>
            <w:vAlign w:val="bottom"/>
            <w:hideMark/>
          </w:tcPr>
          <w:p w:rsidR="00A349E9" w:rsidRPr="00BC13F5" w:rsidRDefault="006B722A" w:rsidP="00BC13F5">
            <w:pPr>
              <w:spacing w:line="360" w:lineRule="auto"/>
              <w:jc w:val="center"/>
              <w:rPr>
                <w:rFonts w:ascii="Arial" w:hAnsi="Arial" w:cs="Arial"/>
                <w:color w:val="000000"/>
                <w:sz w:val="22"/>
                <w:szCs w:val="22"/>
              </w:rPr>
            </w:pPr>
            <w:r w:rsidRPr="00BC13F5">
              <w:rPr>
                <w:rFonts w:ascii="Arial" w:hAnsi="Arial" w:cs="Arial"/>
                <w:color w:val="000000"/>
                <w:sz w:val="22"/>
                <w:szCs w:val="22"/>
              </w:rPr>
              <w:t>78</w:t>
            </w:r>
          </w:p>
        </w:tc>
        <w:tc>
          <w:tcPr>
            <w:tcW w:w="2945" w:type="dxa"/>
            <w:tcBorders>
              <w:top w:val="single" w:sz="4" w:space="0" w:color="8EA9DB"/>
              <w:left w:val="nil"/>
              <w:bottom w:val="single" w:sz="4" w:space="0" w:color="8EA9DB"/>
              <w:right w:val="single" w:sz="4" w:space="0" w:color="8EA9DB"/>
            </w:tcBorders>
            <w:shd w:val="clear" w:color="auto" w:fill="auto"/>
            <w:noWrap/>
            <w:vAlign w:val="bottom"/>
            <w:hideMark/>
          </w:tcPr>
          <w:p w:rsidR="00A349E9" w:rsidRPr="00BC13F5" w:rsidRDefault="006B722A" w:rsidP="00BC13F5">
            <w:pPr>
              <w:spacing w:line="360" w:lineRule="auto"/>
              <w:jc w:val="center"/>
              <w:rPr>
                <w:rFonts w:ascii="Arial" w:hAnsi="Arial" w:cs="Arial"/>
                <w:color w:val="000000"/>
                <w:sz w:val="22"/>
                <w:szCs w:val="22"/>
              </w:rPr>
            </w:pPr>
            <w:r w:rsidRPr="00BC13F5">
              <w:rPr>
                <w:rFonts w:ascii="Arial" w:hAnsi="Arial" w:cs="Arial"/>
                <w:color w:val="000000"/>
                <w:sz w:val="22"/>
                <w:szCs w:val="22"/>
              </w:rPr>
              <w:t>91</w:t>
            </w:r>
            <w:r w:rsidR="00A349E9" w:rsidRPr="00BC13F5">
              <w:rPr>
                <w:rFonts w:ascii="Arial" w:hAnsi="Arial" w:cs="Arial"/>
                <w:color w:val="000000"/>
                <w:sz w:val="22"/>
                <w:szCs w:val="22"/>
              </w:rPr>
              <w:t>%</w:t>
            </w:r>
          </w:p>
        </w:tc>
      </w:tr>
      <w:tr w:rsidR="00A349E9" w:rsidRPr="00BC13F5" w:rsidTr="002E62D1">
        <w:trPr>
          <w:trHeight w:val="300"/>
        </w:trPr>
        <w:tc>
          <w:tcPr>
            <w:tcW w:w="2295" w:type="dxa"/>
            <w:tcBorders>
              <w:top w:val="single" w:sz="4" w:space="0" w:color="8EA9DB"/>
              <w:left w:val="single" w:sz="4" w:space="0" w:color="8EA9DB"/>
              <w:bottom w:val="single" w:sz="4" w:space="0" w:color="8EA9DB"/>
              <w:right w:val="nil"/>
            </w:tcBorders>
            <w:shd w:val="clear" w:color="D9E1F2" w:fill="D9E1F2"/>
            <w:noWrap/>
            <w:vAlign w:val="bottom"/>
            <w:hideMark/>
          </w:tcPr>
          <w:p w:rsidR="00A349E9" w:rsidRPr="00BC13F5" w:rsidRDefault="00A349E9" w:rsidP="00BC13F5">
            <w:pPr>
              <w:spacing w:line="360" w:lineRule="auto"/>
              <w:rPr>
                <w:rFonts w:ascii="Arial" w:hAnsi="Arial" w:cs="Arial"/>
                <w:color w:val="000000"/>
                <w:sz w:val="22"/>
                <w:szCs w:val="22"/>
              </w:rPr>
            </w:pPr>
            <w:r w:rsidRPr="00BC13F5">
              <w:rPr>
                <w:rFonts w:ascii="Arial" w:hAnsi="Arial" w:cs="Arial"/>
                <w:color w:val="000000"/>
                <w:sz w:val="22"/>
                <w:szCs w:val="22"/>
              </w:rPr>
              <w:t>2020/21</w:t>
            </w:r>
          </w:p>
        </w:tc>
        <w:tc>
          <w:tcPr>
            <w:tcW w:w="1957" w:type="dxa"/>
            <w:tcBorders>
              <w:top w:val="single" w:sz="4" w:space="0" w:color="8EA9DB"/>
              <w:left w:val="nil"/>
              <w:bottom w:val="single" w:sz="4" w:space="0" w:color="8EA9DB"/>
              <w:right w:val="nil"/>
            </w:tcBorders>
            <w:shd w:val="clear" w:color="D9E1F2" w:fill="D9E1F2"/>
            <w:noWrap/>
            <w:vAlign w:val="bottom"/>
            <w:hideMark/>
          </w:tcPr>
          <w:p w:rsidR="00A349E9" w:rsidRPr="00BC13F5" w:rsidRDefault="006B722A" w:rsidP="00BC13F5">
            <w:pPr>
              <w:spacing w:line="360" w:lineRule="auto"/>
              <w:jc w:val="center"/>
              <w:rPr>
                <w:rFonts w:ascii="Arial" w:hAnsi="Arial" w:cs="Arial"/>
                <w:color w:val="000000"/>
                <w:sz w:val="22"/>
                <w:szCs w:val="22"/>
              </w:rPr>
            </w:pPr>
            <w:r w:rsidRPr="00BC13F5">
              <w:rPr>
                <w:rFonts w:ascii="Arial" w:hAnsi="Arial" w:cs="Arial"/>
                <w:color w:val="000000"/>
                <w:sz w:val="22"/>
                <w:szCs w:val="22"/>
              </w:rPr>
              <w:t>542</w:t>
            </w:r>
          </w:p>
        </w:tc>
        <w:tc>
          <w:tcPr>
            <w:tcW w:w="1845" w:type="dxa"/>
            <w:tcBorders>
              <w:top w:val="single" w:sz="4" w:space="0" w:color="8EA9DB"/>
              <w:left w:val="nil"/>
              <w:bottom w:val="single" w:sz="4" w:space="0" w:color="8EA9DB"/>
              <w:right w:val="nil"/>
            </w:tcBorders>
            <w:shd w:val="clear" w:color="D9E1F2" w:fill="D9E1F2"/>
            <w:noWrap/>
            <w:vAlign w:val="bottom"/>
            <w:hideMark/>
          </w:tcPr>
          <w:p w:rsidR="00A349E9" w:rsidRPr="00BC13F5" w:rsidRDefault="006B722A" w:rsidP="00BC13F5">
            <w:pPr>
              <w:spacing w:line="360" w:lineRule="auto"/>
              <w:jc w:val="center"/>
              <w:rPr>
                <w:rFonts w:ascii="Arial" w:hAnsi="Arial" w:cs="Arial"/>
                <w:color w:val="000000"/>
                <w:sz w:val="22"/>
                <w:szCs w:val="22"/>
              </w:rPr>
            </w:pPr>
            <w:r w:rsidRPr="00BC13F5">
              <w:rPr>
                <w:rFonts w:ascii="Arial" w:hAnsi="Arial" w:cs="Arial"/>
                <w:color w:val="000000"/>
                <w:sz w:val="22"/>
                <w:szCs w:val="22"/>
              </w:rPr>
              <w:t>36</w:t>
            </w:r>
          </w:p>
        </w:tc>
        <w:tc>
          <w:tcPr>
            <w:tcW w:w="2945" w:type="dxa"/>
            <w:tcBorders>
              <w:top w:val="single" w:sz="4" w:space="0" w:color="8EA9DB"/>
              <w:left w:val="nil"/>
              <w:bottom w:val="single" w:sz="4" w:space="0" w:color="8EA9DB"/>
              <w:right w:val="single" w:sz="4" w:space="0" w:color="8EA9DB"/>
            </w:tcBorders>
            <w:shd w:val="clear" w:color="D9E1F2" w:fill="D9E1F2"/>
            <w:noWrap/>
            <w:vAlign w:val="bottom"/>
            <w:hideMark/>
          </w:tcPr>
          <w:p w:rsidR="00A349E9" w:rsidRPr="00BC13F5" w:rsidRDefault="006B722A" w:rsidP="00BC13F5">
            <w:pPr>
              <w:spacing w:line="360" w:lineRule="auto"/>
              <w:jc w:val="center"/>
              <w:rPr>
                <w:rFonts w:ascii="Arial" w:hAnsi="Arial" w:cs="Arial"/>
                <w:color w:val="000000"/>
                <w:sz w:val="22"/>
                <w:szCs w:val="22"/>
              </w:rPr>
            </w:pPr>
            <w:r w:rsidRPr="00BC13F5">
              <w:rPr>
                <w:rFonts w:ascii="Arial" w:hAnsi="Arial" w:cs="Arial"/>
                <w:color w:val="000000"/>
                <w:sz w:val="22"/>
                <w:szCs w:val="22"/>
              </w:rPr>
              <w:t>94</w:t>
            </w:r>
            <w:r w:rsidR="00A349E9" w:rsidRPr="00BC13F5">
              <w:rPr>
                <w:rFonts w:ascii="Arial" w:hAnsi="Arial" w:cs="Arial"/>
                <w:color w:val="000000"/>
                <w:sz w:val="22"/>
                <w:szCs w:val="22"/>
              </w:rPr>
              <w:t>%</w:t>
            </w:r>
          </w:p>
        </w:tc>
      </w:tr>
      <w:tr w:rsidR="00A349E9" w:rsidRPr="00BC13F5" w:rsidTr="002E62D1">
        <w:trPr>
          <w:trHeight w:val="300"/>
        </w:trPr>
        <w:tc>
          <w:tcPr>
            <w:tcW w:w="2295" w:type="dxa"/>
            <w:tcBorders>
              <w:top w:val="single" w:sz="4" w:space="0" w:color="8EA9DB"/>
              <w:left w:val="single" w:sz="4" w:space="0" w:color="8EA9DB"/>
              <w:bottom w:val="single" w:sz="4" w:space="0" w:color="8EA9DB"/>
              <w:right w:val="nil"/>
            </w:tcBorders>
            <w:shd w:val="clear" w:color="auto" w:fill="auto"/>
            <w:noWrap/>
            <w:vAlign w:val="bottom"/>
            <w:hideMark/>
          </w:tcPr>
          <w:p w:rsidR="00A349E9" w:rsidRPr="00BC13F5" w:rsidRDefault="00A349E9" w:rsidP="00BC13F5">
            <w:pPr>
              <w:spacing w:line="360" w:lineRule="auto"/>
              <w:rPr>
                <w:rFonts w:ascii="Arial" w:hAnsi="Arial" w:cs="Arial"/>
                <w:color w:val="000000"/>
                <w:sz w:val="22"/>
                <w:szCs w:val="22"/>
              </w:rPr>
            </w:pPr>
            <w:r w:rsidRPr="00BC13F5">
              <w:rPr>
                <w:rFonts w:ascii="Arial" w:hAnsi="Arial" w:cs="Arial"/>
                <w:color w:val="000000"/>
                <w:sz w:val="22"/>
                <w:szCs w:val="22"/>
              </w:rPr>
              <w:t>2021/22</w:t>
            </w:r>
          </w:p>
        </w:tc>
        <w:tc>
          <w:tcPr>
            <w:tcW w:w="1957" w:type="dxa"/>
            <w:tcBorders>
              <w:top w:val="single" w:sz="4" w:space="0" w:color="8EA9DB"/>
              <w:left w:val="nil"/>
              <w:bottom w:val="single" w:sz="4" w:space="0" w:color="8EA9DB"/>
              <w:right w:val="nil"/>
            </w:tcBorders>
            <w:shd w:val="clear" w:color="auto" w:fill="auto"/>
            <w:noWrap/>
            <w:vAlign w:val="bottom"/>
            <w:hideMark/>
          </w:tcPr>
          <w:p w:rsidR="00A349E9" w:rsidRPr="00BC13F5" w:rsidRDefault="006B722A" w:rsidP="00BC13F5">
            <w:pPr>
              <w:spacing w:line="360" w:lineRule="auto"/>
              <w:jc w:val="center"/>
              <w:rPr>
                <w:rFonts w:ascii="Arial" w:hAnsi="Arial" w:cs="Arial"/>
                <w:color w:val="000000"/>
                <w:sz w:val="22"/>
                <w:szCs w:val="22"/>
              </w:rPr>
            </w:pPr>
            <w:r w:rsidRPr="00BC13F5">
              <w:rPr>
                <w:rFonts w:ascii="Arial" w:hAnsi="Arial" w:cs="Arial"/>
                <w:color w:val="000000"/>
                <w:sz w:val="22"/>
                <w:szCs w:val="22"/>
              </w:rPr>
              <w:t>647</w:t>
            </w:r>
          </w:p>
        </w:tc>
        <w:tc>
          <w:tcPr>
            <w:tcW w:w="1845" w:type="dxa"/>
            <w:tcBorders>
              <w:top w:val="single" w:sz="4" w:space="0" w:color="8EA9DB"/>
              <w:left w:val="nil"/>
              <w:bottom w:val="single" w:sz="4" w:space="0" w:color="8EA9DB"/>
              <w:right w:val="nil"/>
            </w:tcBorders>
            <w:shd w:val="clear" w:color="auto" w:fill="auto"/>
            <w:noWrap/>
            <w:vAlign w:val="bottom"/>
            <w:hideMark/>
          </w:tcPr>
          <w:p w:rsidR="00A349E9" w:rsidRPr="00BC13F5" w:rsidRDefault="006B722A" w:rsidP="00BC13F5">
            <w:pPr>
              <w:spacing w:line="360" w:lineRule="auto"/>
              <w:jc w:val="center"/>
              <w:rPr>
                <w:rFonts w:ascii="Arial" w:hAnsi="Arial" w:cs="Arial"/>
                <w:color w:val="000000"/>
                <w:sz w:val="22"/>
                <w:szCs w:val="22"/>
              </w:rPr>
            </w:pPr>
            <w:r w:rsidRPr="00BC13F5">
              <w:rPr>
                <w:rFonts w:ascii="Arial" w:hAnsi="Arial" w:cs="Arial"/>
                <w:color w:val="000000"/>
                <w:sz w:val="22"/>
                <w:szCs w:val="22"/>
              </w:rPr>
              <w:t>65</w:t>
            </w:r>
          </w:p>
        </w:tc>
        <w:tc>
          <w:tcPr>
            <w:tcW w:w="2945" w:type="dxa"/>
            <w:tcBorders>
              <w:top w:val="single" w:sz="4" w:space="0" w:color="8EA9DB"/>
              <w:left w:val="nil"/>
              <w:bottom w:val="single" w:sz="4" w:space="0" w:color="8EA9DB"/>
              <w:right w:val="single" w:sz="4" w:space="0" w:color="8EA9DB"/>
            </w:tcBorders>
            <w:shd w:val="clear" w:color="auto" w:fill="auto"/>
            <w:noWrap/>
            <w:vAlign w:val="bottom"/>
            <w:hideMark/>
          </w:tcPr>
          <w:p w:rsidR="00A349E9" w:rsidRPr="00BC13F5" w:rsidRDefault="006B722A" w:rsidP="00BC13F5">
            <w:pPr>
              <w:spacing w:line="360" w:lineRule="auto"/>
              <w:jc w:val="center"/>
              <w:rPr>
                <w:rFonts w:ascii="Arial" w:hAnsi="Arial" w:cs="Arial"/>
                <w:color w:val="000000"/>
                <w:sz w:val="22"/>
                <w:szCs w:val="22"/>
              </w:rPr>
            </w:pPr>
            <w:r w:rsidRPr="00BC13F5">
              <w:rPr>
                <w:rFonts w:ascii="Arial" w:hAnsi="Arial" w:cs="Arial"/>
                <w:color w:val="000000"/>
                <w:sz w:val="22"/>
                <w:szCs w:val="22"/>
              </w:rPr>
              <w:t>91</w:t>
            </w:r>
            <w:r w:rsidR="00A349E9" w:rsidRPr="00BC13F5">
              <w:rPr>
                <w:rFonts w:ascii="Arial" w:hAnsi="Arial" w:cs="Arial"/>
                <w:color w:val="000000"/>
                <w:sz w:val="22"/>
                <w:szCs w:val="22"/>
              </w:rPr>
              <w:t>%</w:t>
            </w:r>
          </w:p>
        </w:tc>
      </w:tr>
    </w:tbl>
    <w:p w:rsidR="002E62D1" w:rsidRDefault="002E62D1" w:rsidP="002E62D1">
      <w:pPr>
        <w:spacing w:line="360" w:lineRule="auto"/>
        <w:ind w:left="360"/>
        <w:jc w:val="both"/>
        <w:rPr>
          <w:rFonts w:ascii="Arial" w:hAnsi="Arial" w:cs="Arial"/>
          <w:lang w:val="en-ZA"/>
        </w:rPr>
      </w:pPr>
    </w:p>
    <w:p w:rsidR="00BC13F5" w:rsidRDefault="00BC13F5" w:rsidP="00BC13F5">
      <w:pPr>
        <w:numPr>
          <w:ilvl w:val="0"/>
          <w:numId w:val="16"/>
        </w:numPr>
        <w:spacing w:line="360" w:lineRule="auto"/>
        <w:jc w:val="both"/>
        <w:rPr>
          <w:rFonts w:ascii="Arial" w:hAnsi="Arial" w:cs="Arial"/>
          <w:lang w:val="en-ZA"/>
        </w:rPr>
      </w:pPr>
      <w:r>
        <w:rPr>
          <w:rFonts w:ascii="Arial" w:hAnsi="Arial" w:cs="Arial"/>
          <w:lang w:val="en-ZA"/>
        </w:rPr>
        <w:t xml:space="preserve">(a) </w:t>
      </w:r>
      <w:r w:rsidR="00E27C60" w:rsidRPr="00BC13F5">
        <w:rPr>
          <w:rFonts w:ascii="Arial" w:hAnsi="Arial" w:cs="Arial"/>
          <w:lang w:val="en-ZA"/>
        </w:rPr>
        <w:t xml:space="preserve">The reasons </w:t>
      </w:r>
      <w:r w:rsidR="001C722C" w:rsidRPr="00BC13F5">
        <w:rPr>
          <w:rFonts w:ascii="Arial" w:hAnsi="Arial" w:cs="Arial"/>
          <w:lang w:val="en-ZA"/>
        </w:rPr>
        <w:t>for</w:t>
      </w:r>
      <w:r w:rsidR="00E27C60" w:rsidRPr="00BC13F5">
        <w:rPr>
          <w:rFonts w:ascii="Arial" w:hAnsi="Arial" w:cs="Arial"/>
          <w:lang w:val="en-ZA"/>
        </w:rPr>
        <w:t xml:space="preserve"> </w:t>
      </w:r>
      <w:r w:rsidR="0068134B" w:rsidRPr="00BC13F5">
        <w:rPr>
          <w:rFonts w:ascii="Arial" w:hAnsi="Arial" w:cs="Arial"/>
          <w:lang w:val="en-ZA"/>
        </w:rPr>
        <w:t>acquittals</w:t>
      </w:r>
      <w:r w:rsidR="00E27C60" w:rsidRPr="00BC13F5">
        <w:rPr>
          <w:rFonts w:ascii="Arial" w:hAnsi="Arial" w:cs="Arial"/>
          <w:lang w:val="en-ZA"/>
        </w:rPr>
        <w:t xml:space="preserve"> are not</w:t>
      </w:r>
      <w:r w:rsidR="00072FF8" w:rsidRPr="00BC13F5">
        <w:rPr>
          <w:rFonts w:ascii="Arial" w:hAnsi="Arial" w:cs="Arial"/>
          <w:lang w:val="en-ZA"/>
        </w:rPr>
        <w:t xml:space="preserve"> recorded</w:t>
      </w:r>
      <w:r w:rsidR="0068134B" w:rsidRPr="00BC13F5">
        <w:rPr>
          <w:rFonts w:ascii="Arial" w:hAnsi="Arial" w:cs="Arial"/>
          <w:lang w:val="en-ZA"/>
        </w:rPr>
        <w:t xml:space="preserve"> in each case</w:t>
      </w:r>
      <w:r w:rsidR="00072FF8" w:rsidRPr="00BC13F5">
        <w:rPr>
          <w:rFonts w:ascii="Arial" w:hAnsi="Arial" w:cs="Arial"/>
          <w:lang w:val="en-ZA"/>
        </w:rPr>
        <w:t xml:space="preserve">. </w:t>
      </w:r>
      <w:r w:rsidR="0068134B" w:rsidRPr="00BC13F5">
        <w:rPr>
          <w:rFonts w:ascii="Arial" w:hAnsi="Arial" w:cs="Arial"/>
          <w:lang w:val="en-ZA"/>
        </w:rPr>
        <w:t xml:space="preserve">The prosecution will </w:t>
      </w:r>
    </w:p>
    <w:p w:rsidR="00E27C60" w:rsidRPr="00BC13F5" w:rsidRDefault="0068134B" w:rsidP="00BC13F5">
      <w:pPr>
        <w:spacing w:line="360" w:lineRule="auto"/>
        <w:ind w:left="720"/>
        <w:jc w:val="both"/>
        <w:rPr>
          <w:rFonts w:ascii="Arial" w:hAnsi="Arial" w:cs="Arial"/>
          <w:lang w:val="en-ZA"/>
        </w:rPr>
      </w:pPr>
      <w:r w:rsidRPr="00BC13F5">
        <w:rPr>
          <w:rFonts w:ascii="Arial" w:hAnsi="Arial" w:cs="Arial"/>
          <w:lang w:val="en-ZA"/>
        </w:rPr>
        <w:t>present its case and lead evidence regarding the charges as contained in the police docket. The evidence of witnesses will then be tested during cross-examination in court by the defen</w:t>
      </w:r>
      <w:r w:rsidR="00BC13F5">
        <w:rPr>
          <w:rFonts w:ascii="Arial" w:hAnsi="Arial" w:cs="Arial"/>
          <w:lang w:val="en-ZA"/>
        </w:rPr>
        <w:t>c</w:t>
      </w:r>
      <w:r w:rsidRPr="00BC13F5">
        <w:rPr>
          <w:rFonts w:ascii="Arial" w:hAnsi="Arial" w:cs="Arial"/>
          <w:lang w:val="en-ZA"/>
        </w:rPr>
        <w:t>e. The presiding officer, after also hearing the evidence by the accused and/or defen</w:t>
      </w:r>
      <w:r w:rsidR="00BC13F5">
        <w:rPr>
          <w:rFonts w:ascii="Arial" w:hAnsi="Arial" w:cs="Arial"/>
          <w:lang w:val="en-ZA"/>
        </w:rPr>
        <w:t>c</w:t>
      </w:r>
      <w:r w:rsidRPr="00BC13F5">
        <w:rPr>
          <w:rFonts w:ascii="Arial" w:hAnsi="Arial" w:cs="Arial"/>
          <w:lang w:val="en-ZA"/>
        </w:rPr>
        <w:t xml:space="preserve">e when they have </w:t>
      </w:r>
      <w:r w:rsidR="009807D4" w:rsidRPr="00BC13F5">
        <w:rPr>
          <w:rFonts w:ascii="Arial" w:hAnsi="Arial" w:cs="Arial"/>
          <w:lang w:val="en-ZA"/>
        </w:rPr>
        <w:t>witnesses</w:t>
      </w:r>
      <w:r w:rsidRPr="00BC13F5">
        <w:rPr>
          <w:rFonts w:ascii="Arial" w:hAnsi="Arial" w:cs="Arial"/>
          <w:lang w:val="en-ZA"/>
        </w:rPr>
        <w:t xml:space="preserve">, will then make a judgement in the case. The burden of proof is </w:t>
      </w:r>
      <w:r w:rsidRPr="00BC13F5">
        <w:rPr>
          <w:rFonts w:ascii="Arial" w:hAnsi="Arial" w:cs="Arial"/>
          <w:i/>
          <w:iCs/>
          <w:lang w:val="en-ZA"/>
        </w:rPr>
        <w:t>beyond a reasonable doubt</w:t>
      </w:r>
      <w:r w:rsidR="00BF631A" w:rsidRPr="00BC13F5">
        <w:rPr>
          <w:rFonts w:ascii="Arial" w:hAnsi="Arial" w:cs="Arial"/>
          <w:i/>
          <w:iCs/>
          <w:lang w:val="en-ZA"/>
        </w:rPr>
        <w:t xml:space="preserve"> </w:t>
      </w:r>
      <w:r w:rsidR="00BF631A" w:rsidRPr="00BC13F5">
        <w:rPr>
          <w:rFonts w:ascii="Arial" w:hAnsi="Arial" w:cs="Arial"/>
          <w:lang w:val="en-ZA"/>
        </w:rPr>
        <w:t xml:space="preserve">in criminal cases. </w:t>
      </w:r>
      <w:r w:rsidRPr="00BC13F5">
        <w:rPr>
          <w:rFonts w:ascii="Arial" w:hAnsi="Arial" w:cs="Arial"/>
          <w:lang w:val="en-ZA"/>
        </w:rPr>
        <w:t>It is important to note in this regard that the judgement of the court</w:t>
      </w:r>
      <w:r w:rsidR="00BF631A" w:rsidRPr="00BC13F5">
        <w:rPr>
          <w:rFonts w:ascii="Arial" w:hAnsi="Arial" w:cs="Arial"/>
          <w:lang w:val="en-ZA"/>
        </w:rPr>
        <w:t xml:space="preserve"> is based on all the evidence in court, </w:t>
      </w:r>
      <w:r w:rsidR="009807D4" w:rsidRPr="00BC13F5">
        <w:rPr>
          <w:rFonts w:ascii="Arial" w:hAnsi="Arial" w:cs="Arial"/>
          <w:lang w:val="en-ZA"/>
        </w:rPr>
        <w:t>considering</w:t>
      </w:r>
      <w:r w:rsidR="00BF631A" w:rsidRPr="00BC13F5">
        <w:rPr>
          <w:rFonts w:ascii="Arial" w:hAnsi="Arial" w:cs="Arial"/>
          <w:lang w:val="en-ZA"/>
        </w:rPr>
        <w:t xml:space="preserve"> as well circumstantial evidence, evidentiary rules and reliability of the evidence. There is seldom only one reason for either any acquittal or conviction as the court needs to weigh all the evidence before a conclusion may be reached. Some of the more common reasons that are included where convictions are not achieved include</w:t>
      </w:r>
      <w:r w:rsidR="00072FF8" w:rsidRPr="00BC13F5">
        <w:rPr>
          <w:rFonts w:ascii="Arial" w:hAnsi="Arial" w:cs="Arial"/>
          <w:lang w:val="en-ZA"/>
        </w:rPr>
        <w:t>:</w:t>
      </w:r>
    </w:p>
    <w:p w:rsidR="00072FF8" w:rsidRDefault="00BF631A" w:rsidP="00BC13F5">
      <w:pPr>
        <w:numPr>
          <w:ilvl w:val="0"/>
          <w:numId w:val="18"/>
        </w:numPr>
        <w:spacing w:line="360" w:lineRule="auto"/>
        <w:jc w:val="both"/>
        <w:rPr>
          <w:rFonts w:ascii="Arial" w:hAnsi="Arial" w:cs="Arial"/>
          <w:lang w:val="en-ZA"/>
        </w:rPr>
      </w:pPr>
      <w:r>
        <w:rPr>
          <w:rFonts w:ascii="Arial" w:hAnsi="Arial" w:cs="Arial"/>
          <w:lang w:val="en-ZA"/>
        </w:rPr>
        <w:t>Consent – it is often difficult to disprove consent where the rape has not resulted in any injuries or where circumstances may not support an inference to be drawn from the facts of the case;</w:t>
      </w:r>
    </w:p>
    <w:p w:rsidR="0085527B" w:rsidRDefault="00BF631A" w:rsidP="00BC13F5">
      <w:pPr>
        <w:numPr>
          <w:ilvl w:val="0"/>
          <w:numId w:val="18"/>
        </w:numPr>
        <w:spacing w:line="360" w:lineRule="auto"/>
        <w:jc w:val="both"/>
        <w:rPr>
          <w:rFonts w:ascii="Arial" w:hAnsi="Arial" w:cs="Arial"/>
          <w:lang w:val="en-ZA"/>
        </w:rPr>
      </w:pPr>
      <w:r>
        <w:rPr>
          <w:rFonts w:ascii="Arial" w:hAnsi="Arial" w:cs="Arial"/>
          <w:lang w:val="en-ZA"/>
        </w:rPr>
        <w:t xml:space="preserve">Identity – where the accused </w:t>
      </w:r>
      <w:r w:rsidR="00B001DC">
        <w:rPr>
          <w:rFonts w:ascii="Arial" w:hAnsi="Arial" w:cs="Arial"/>
          <w:lang w:val="en-ZA"/>
        </w:rPr>
        <w:t xml:space="preserve">was not previously known to the victim, the identity may often be difficult to prove, especially in the absence of DNA or other evidence to support the identification of the accused. Unlike theft where articles may be found in possession of an accused to link them to an offence, there is seldom physical evidence to link the accused and the court has to e satisfied that the </w:t>
      </w:r>
      <w:r w:rsidR="009807D4">
        <w:rPr>
          <w:rFonts w:ascii="Arial" w:hAnsi="Arial" w:cs="Arial"/>
          <w:lang w:val="en-ZA"/>
        </w:rPr>
        <w:t>way</w:t>
      </w:r>
      <w:r w:rsidR="00B001DC">
        <w:rPr>
          <w:rFonts w:ascii="Arial" w:hAnsi="Arial" w:cs="Arial"/>
          <w:lang w:val="en-ZA"/>
        </w:rPr>
        <w:t xml:space="preserve"> identification took place, the method and circumstances in which the identification was made and reasons for identification are reliable and is trustworthy.</w:t>
      </w:r>
    </w:p>
    <w:p w:rsidR="0085527B" w:rsidRDefault="0085527B" w:rsidP="00BC13F5">
      <w:pPr>
        <w:numPr>
          <w:ilvl w:val="0"/>
          <w:numId w:val="18"/>
        </w:numPr>
        <w:spacing w:line="360" w:lineRule="auto"/>
        <w:jc w:val="both"/>
        <w:rPr>
          <w:rFonts w:ascii="Arial" w:hAnsi="Arial" w:cs="Arial"/>
          <w:lang w:val="en-ZA"/>
        </w:rPr>
      </w:pPr>
      <w:r>
        <w:rPr>
          <w:rFonts w:ascii="Arial" w:hAnsi="Arial" w:cs="Arial"/>
          <w:lang w:val="en-ZA"/>
        </w:rPr>
        <w:t xml:space="preserve">Witness(es) </w:t>
      </w:r>
      <w:r w:rsidR="00B001DC">
        <w:rPr>
          <w:rFonts w:ascii="Arial" w:hAnsi="Arial" w:cs="Arial"/>
          <w:lang w:val="en-ZA"/>
        </w:rPr>
        <w:t xml:space="preserve">in some cases either detract from their statements, deviate from </w:t>
      </w:r>
      <w:r w:rsidR="009807D4">
        <w:rPr>
          <w:rFonts w:ascii="Arial" w:hAnsi="Arial" w:cs="Arial"/>
          <w:lang w:val="en-ZA"/>
        </w:rPr>
        <w:t>consultation,</w:t>
      </w:r>
      <w:r w:rsidR="00B001DC">
        <w:rPr>
          <w:rFonts w:ascii="Arial" w:hAnsi="Arial" w:cs="Arial"/>
          <w:lang w:val="en-ZA"/>
        </w:rPr>
        <w:t xml:space="preserve"> or make </w:t>
      </w:r>
      <w:r w:rsidR="00966E07">
        <w:rPr>
          <w:rFonts w:ascii="Arial" w:hAnsi="Arial" w:cs="Arial"/>
          <w:lang w:val="en-ZA"/>
        </w:rPr>
        <w:t>concessions during cross-examination.</w:t>
      </w:r>
    </w:p>
    <w:p w:rsidR="0085527B" w:rsidRDefault="00966E07" w:rsidP="00BC13F5">
      <w:pPr>
        <w:numPr>
          <w:ilvl w:val="0"/>
          <w:numId w:val="18"/>
        </w:numPr>
        <w:spacing w:line="360" w:lineRule="auto"/>
        <w:jc w:val="both"/>
        <w:rPr>
          <w:rFonts w:ascii="Arial" w:hAnsi="Arial" w:cs="Arial"/>
          <w:lang w:val="en-ZA"/>
        </w:rPr>
      </w:pPr>
      <w:r>
        <w:rPr>
          <w:rFonts w:ascii="Arial" w:hAnsi="Arial" w:cs="Arial"/>
          <w:lang w:val="en-ZA"/>
        </w:rPr>
        <w:t xml:space="preserve">Credibility findings are very important as in most instances with rape charges, the victim is the only witness that can testify on behalf of the State regarding the elements of the crime to be proved which include the identity, absence of consent, the </w:t>
      </w:r>
      <w:r w:rsidR="008D23F9">
        <w:rPr>
          <w:rFonts w:ascii="Arial" w:hAnsi="Arial" w:cs="Arial"/>
          <w:lang w:val="en-ZA"/>
        </w:rPr>
        <w:t>place,</w:t>
      </w:r>
      <w:r w:rsidR="006020ED">
        <w:rPr>
          <w:rFonts w:ascii="Arial" w:hAnsi="Arial" w:cs="Arial"/>
          <w:lang w:val="en-ZA"/>
        </w:rPr>
        <w:t xml:space="preserve"> and circumstances in which the crime was performed and the first reporting of the incident.</w:t>
      </w:r>
    </w:p>
    <w:p w:rsidR="006020ED" w:rsidRDefault="006020ED" w:rsidP="00BC13F5">
      <w:pPr>
        <w:numPr>
          <w:ilvl w:val="0"/>
          <w:numId w:val="18"/>
        </w:numPr>
        <w:spacing w:line="360" w:lineRule="auto"/>
        <w:jc w:val="both"/>
        <w:rPr>
          <w:rFonts w:ascii="Arial" w:hAnsi="Arial" w:cs="Arial"/>
          <w:lang w:val="en-ZA"/>
        </w:rPr>
      </w:pPr>
      <w:r>
        <w:rPr>
          <w:rFonts w:ascii="Arial" w:hAnsi="Arial" w:cs="Arial"/>
          <w:lang w:val="en-ZA"/>
        </w:rPr>
        <w:t xml:space="preserve">Less common reasons include key witnesses not being available for testimony, contradictions </w:t>
      </w:r>
      <w:r w:rsidR="008858BF">
        <w:rPr>
          <w:rFonts w:ascii="Arial" w:hAnsi="Arial" w:cs="Arial"/>
          <w:lang w:val="en-ZA"/>
        </w:rPr>
        <w:t xml:space="preserve">in evidence by State witnesses and alibi evidence of accused that cannot be disproved. </w:t>
      </w:r>
    </w:p>
    <w:p w:rsidR="009807D4" w:rsidRDefault="009807D4" w:rsidP="00BC13F5">
      <w:pPr>
        <w:numPr>
          <w:ilvl w:val="0"/>
          <w:numId w:val="18"/>
        </w:numPr>
        <w:spacing w:line="360" w:lineRule="auto"/>
        <w:jc w:val="both"/>
        <w:rPr>
          <w:rFonts w:ascii="Arial" w:hAnsi="Arial" w:cs="Arial"/>
          <w:lang w:val="en-ZA"/>
        </w:rPr>
      </w:pPr>
      <w:r>
        <w:rPr>
          <w:rFonts w:ascii="Arial" w:hAnsi="Arial" w:cs="Arial"/>
          <w:lang w:val="en-ZA"/>
        </w:rPr>
        <w:t xml:space="preserve">The complainant changes his or her version </w:t>
      </w:r>
      <w:r w:rsidR="002C0488">
        <w:rPr>
          <w:rFonts w:ascii="Arial" w:hAnsi="Arial" w:cs="Arial"/>
          <w:lang w:val="en-ZA"/>
        </w:rPr>
        <w:t>exonerating the accused.</w:t>
      </w:r>
    </w:p>
    <w:p w:rsidR="002C0488" w:rsidRDefault="002C0488" w:rsidP="00BC13F5">
      <w:pPr>
        <w:numPr>
          <w:ilvl w:val="0"/>
          <w:numId w:val="18"/>
        </w:numPr>
        <w:spacing w:line="360" w:lineRule="auto"/>
        <w:jc w:val="both"/>
        <w:rPr>
          <w:rFonts w:ascii="Arial" w:hAnsi="Arial" w:cs="Arial"/>
          <w:lang w:val="en-ZA"/>
        </w:rPr>
      </w:pPr>
      <w:r>
        <w:rPr>
          <w:rFonts w:ascii="Arial" w:hAnsi="Arial" w:cs="Arial"/>
          <w:lang w:val="en-ZA"/>
        </w:rPr>
        <w:t>Forensic evidence exonerates the accused.</w:t>
      </w:r>
    </w:p>
    <w:p w:rsidR="002C0488" w:rsidRDefault="002C0488" w:rsidP="00BC13F5">
      <w:pPr>
        <w:numPr>
          <w:ilvl w:val="0"/>
          <w:numId w:val="18"/>
        </w:numPr>
        <w:spacing w:line="360" w:lineRule="auto"/>
        <w:jc w:val="both"/>
        <w:rPr>
          <w:rFonts w:ascii="Arial" w:hAnsi="Arial" w:cs="Arial"/>
          <w:lang w:val="en-ZA"/>
        </w:rPr>
      </w:pPr>
      <w:r>
        <w:rPr>
          <w:rFonts w:ascii="Arial" w:hAnsi="Arial" w:cs="Arial"/>
          <w:lang w:val="en-ZA"/>
        </w:rPr>
        <w:t>Other evidence exonerates the accused.</w:t>
      </w:r>
    </w:p>
    <w:p w:rsidR="002C0488" w:rsidRDefault="002C0488" w:rsidP="00BC13F5">
      <w:pPr>
        <w:numPr>
          <w:ilvl w:val="0"/>
          <w:numId w:val="18"/>
        </w:numPr>
        <w:spacing w:line="360" w:lineRule="auto"/>
        <w:jc w:val="both"/>
        <w:rPr>
          <w:rFonts w:ascii="Arial" w:hAnsi="Arial" w:cs="Arial"/>
          <w:lang w:val="en-ZA"/>
        </w:rPr>
      </w:pPr>
      <w:r>
        <w:rPr>
          <w:rFonts w:ascii="Arial" w:hAnsi="Arial" w:cs="Arial"/>
          <w:lang w:val="en-ZA"/>
        </w:rPr>
        <w:t>Complainant not in a fit mental state due to the trauma s</w:t>
      </w:r>
      <w:r w:rsidR="00931CAD">
        <w:rPr>
          <w:rFonts w:ascii="Arial" w:hAnsi="Arial" w:cs="Arial"/>
          <w:lang w:val="en-ZA"/>
        </w:rPr>
        <w:t>he/</w:t>
      </w:r>
      <w:r>
        <w:rPr>
          <w:rFonts w:ascii="Arial" w:hAnsi="Arial" w:cs="Arial"/>
          <w:lang w:val="en-ZA"/>
        </w:rPr>
        <w:t>he endured.</w:t>
      </w:r>
    </w:p>
    <w:p w:rsidR="002C0488" w:rsidRDefault="002C0488" w:rsidP="00BC13F5">
      <w:pPr>
        <w:spacing w:before="120" w:after="120" w:line="360" w:lineRule="auto"/>
        <w:jc w:val="both"/>
        <w:rPr>
          <w:rFonts w:ascii="Arial" w:hAnsi="Arial" w:cs="Arial"/>
          <w:lang w:val="en-ZA"/>
        </w:rPr>
      </w:pPr>
      <w:r>
        <w:rPr>
          <w:rFonts w:ascii="Arial" w:hAnsi="Arial" w:cs="Arial"/>
          <w:lang w:val="en-ZA"/>
        </w:rPr>
        <w:t xml:space="preserve"> </w:t>
      </w:r>
    </w:p>
    <w:p w:rsidR="0085527B" w:rsidRDefault="008858BF" w:rsidP="00BC13F5">
      <w:pPr>
        <w:numPr>
          <w:ilvl w:val="0"/>
          <w:numId w:val="20"/>
        </w:numPr>
        <w:spacing w:before="120" w:after="120" w:line="360" w:lineRule="auto"/>
        <w:jc w:val="both"/>
        <w:rPr>
          <w:rFonts w:ascii="Arial" w:hAnsi="Arial" w:cs="Arial"/>
          <w:lang w:val="en-ZA"/>
        </w:rPr>
      </w:pPr>
      <w:r>
        <w:rPr>
          <w:rFonts w:ascii="Arial" w:hAnsi="Arial" w:cs="Arial"/>
          <w:lang w:val="en-ZA"/>
        </w:rPr>
        <w:t>The numbers of acquittals have been reflect</w:t>
      </w:r>
      <w:r w:rsidR="00D81BDE">
        <w:rPr>
          <w:rFonts w:ascii="Arial" w:hAnsi="Arial" w:cs="Arial"/>
          <w:lang w:val="en-ZA"/>
        </w:rPr>
        <w:t>ed</w:t>
      </w:r>
      <w:r>
        <w:rPr>
          <w:rFonts w:ascii="Arial" w:hAnsi="Arial" w:cs="Arial"/>
          <w:lang w:val="en-ZA"/>
        </w:rPr>
        <w:t xml:space="preserve"> above. However, as indicated in paragraph </w:t>
      </w:r>
      <w:r w:rsidR="00931CAD">
        <w:rPr>
          <w:rFonts w:ascii="Arial" w:hAnsi="Arial" w:cs="Arial"/>
          <w:lang w:val="en-ZA"/>
        </w:rPr>
        <w:t xml:space="preserve">3 </w:t>
      </w:r>
      <w:r>
        <w:rPr>
          <w:rFonts w:ascii="Arial" w:hAnsi="Arial" w:cs="Arial"/>
          <w:lang w:val="en-ZA"/>
        </w:rPr>
        <w:t>(a) above, it is not possible to record each reason in isolation, it is important to note that even where the court may not be satisfied that the evidence is insufficient to prove th</w:t>
      </w:r>
      <w:r w:rsidR="00D81BDE">
        <w:rPr>
          <w:rFonts w:ascii="Arial" w:hAnsi="Arial" w:cs="Arial"/>
          <w:lang w:val="en-ZA"/>
        </w:rPr>
        <w:t>e</w:t>
      </w:r>
      <w:r>
        <w:rPr>
          <w:rFonts w:ascii="Arial" w:hAnsi="Arial" w:cs="Arial"/>
          <w:lang w:val="en-ZA"/>
        </w:rPr>
        <w:t xml:space="preserve"> commission of an offence of rape, the court may still convict and often does, </w:t>
      </w:r>
      <w:r w:rsidR="00D81BDE">
        <w:rPr>
          <w:rFonts w:ascii="Arial" w:hAnsi="Arial" w:cs="Arial"/>
          <w:lang w:val="en-ZA"/>
        </w:rPr>
        <w:t xml:space="preserve">convict the accused on a competent verdict such as indecent assault, assault to do grievous bodily harm or assault common. </w:t>
      </w:r>
    </w:p>
    <w:p w:rsidR="00983C6B" w:rsidRDefault="00D81BDE" w:rsidP="00BC13F5">
      <w:pPr>
        <w:numPr>
          <w:ilvl w:val="0"/>
          <w:numId w:val="16"/>
        </w:numPr>
        <w:spacing w:before="120" w:after="120" w:line="360" w:lineRule="auto"/>
        <w:jc w:val="both"/>
        <w:rPr>
          <w:rFonts w:ascii="Arial" w:hAnsi="Arial" w:cs="Arial"/>
        </w:rPr>
      </w:pPr>
      <w:r w:rsidRPr="00D81BDE">
        <w:rPr>
          <w:rFonts w:ascii="Arial" w:hAnsi="Arial" w:cs="Arial"/>
        </w:rPr>
        <w:t>The State</w:t>
      </w:r>
      <w:r>
        <w:rPr>
          <w:rFonts w:ascii="Arial" w:hAnsi="Arial" w:cs="Arial"/>
        </w:rPr>
        <w:t xml:space="preserve"> is </w:t>
      </w:r>
      <w:r w:rsidR="008D23F9">
        <w:rPr>
          <w:rFonts w:ascii="Arial" w:hAnsi="Arial" w:cs="Arial"/>
        </w:rPr>
        <w:t>aware</w:t>
      </w:r>
      <w:r>
        <w:rPr>
          <w:rFonts w:ascii="Arial" w:hAnsi="Arial" w:cs="Arial"/>
        </w:rPr>
        <w:t xml:space="preserve"> of the difficulties in proving </w:t>
      </w:r>
      <w:r w:rsidR="001E07C7">
        <w:rPr>
          <w:rFonts w:ascii="Arial" w:hAnsi="Arial" w:cs="Arial"/>
        </w:rPr>
        <w:t xml:space="preserve">cases </w:t>
      </w:r>
      <w:r>
        <w:rPr>
          <w:rFonts w:ascii="Arial" w:hAnsi="Arial" w:cs="Arial"/>
        </w:rPr>
        <w:t>of rape, as well as similar sexual offence charges, including general Gender Based Violence</w:t>
      </w:r>
      <w:r w:rsidR="006538AF">
        <w:rPr>
          <w:rFonts w:ascii="Arial" w:hAnsi="Arial" w:cs="Arial"/>
        </w:rPr>
        <w:t xml:space="preserve"> and Femicide (GBVF) related offences. The National Prosecuting Authority as well as the Department of Justice</w:t>
      </w:r>
      <w:r w:rsidR="001E07C7">
        <w:rPr>
          <w:rFonts w:ascii="Arial" w:hAnsi="Arial" w:cs="Arial"/>
        </w:rPr>
        <w:t xml:space="preserve"> and Constitutional Development</w:t>
      </w:r>
      <w:r w:rsidR="006538AF">
        <w:rPr>
          <w:rFonts w:ascii="Arial" w:hAnsi="Arial" w:cs="Arial"/>
        </w:rPr>
        <w:t xml:space="preserve">, in cooperation with other Government </w:t>
      </w:r>
      <w:r w:rsidR="001E07C7">
        <w:rPr>
          <w:rFonts w:ascii="Arial" w:hAnsi="Arial" w:cs="Arial"/>
        </w:rPr>
        <w:t>d</w:t>
      </w:r>
      <w:r w:rsidR="006538AF">
        <w:rPr>
          <w:rFonts w:ascii="Arial" w:hAnsi="Arial" w:cs="Arial"/>
        </w:rPr>
        <w:t xml:space="preserve">epartments are doing a lot of work in this regard. One of the most important initiatives in this regard is the establishment of the various Thuthuzela Care Centres (TCCs) in the country where victims are being assisted, evidential support is provided including counselling for victims and matters can be reported. The prosecution is also assisting victims at court by means of Court Preparation Officers to </w:t>
      </w:r>
      <w:r w:rsidR="00EE1E09" w:rsidRPr="00EE1E09">
        <w:rPr>
          <w:rFonts w:ascii="Arial" w:hAnsi="Arial" w:cs="Arial"/>
        </w:rPr>
        <w:t>prepare witnesses for court and facilitate victim impact statements in sexual offences matters</w:t>
      </w:r>
      <w:r w:rsidR="00EE1E09">
        <w:rPr>
          <w:rFonts w:ascii="Arial" w:hAnsi="Arial" w:cs="Arial"/>
        </w:rPr>
        <w:t xml:space="preserve">. </w:t>
      </w:r>
    </w:p>
    <w:p w:rsidR="00BC13F5" w:rsidRDefault="00BC13F5" w:rsidP="00BC13F5">
      <w:pPr>
        <w:spacing w:line="360" w:lineRule="auto"/>
        <w:jc w:val="both"/>
        <w:rPr>
          <w:rFonts w:ascii="Arial" w:hAnsi="Arial" w:cs="Arial"/>
        </w:rPr>
      </w:pPr>
    </w:p>
    <w:p w:rsidR="007D2836" w:rsidRDefault="001E07C7" w:rsidP="00BC13F5">
      <w:pPr>
        <w:spacing w:line="360" w:lineRule="auto"/>
        <w:ind w:left="360"/>
        <w:jc w:val="both"/>
        <w:rPr>
          <w:rFonts w:ascii="Arial" w:hAnsi="Arial" w:cs="Arial"/>
        </w:rPr>
      </w:pPr>
      <w:r>
        <w:rPr>
          <w:rFonts w:ascii="Arial" w:hAnsi="Arial" w:cs="Arial"/>
        </w:rPr>
        <w:t>I</w:t>
      </w:r>
      <w:r w:rsidR="007D2836">
        <w:rPr>
          <w:rFonts w:ascii="Arial" w:hAnsi="Arial" w:cs="Arial"/>
        </w:rPr>
        <w:t>t is also important to note that rape is one of the most difficult offences to prove beyond reasonable doubt</w:t>
      </w:r>
      <w:r>
        <w:rPr>
          <w:rFonts w:ascii="Arial" w:hAnsi="Arial" w:cs="Arial"/>
        </w:rPr>
        <w:t>,</w:t>
      </w:r>
      <w:r w:rsidR="007D2836">
        <w:rPr>
          <w:rFonts w:ascii="Arial" w:hAnsi="Arial" w:cs="Arial"/>
        </w:rPr>
        <w:t xml:space="preserve"> the crime has been committed by the specific accused. The conviction rate in</w:t>
      </w:r>
      <w:r>
        <w:rPr>
          <w:rFonts w:ascii="Arial" w:hAnsi="Arial" w:cs="Arial"/>
        </w:rPr>
        <w:t xml:space="preserve"> general sexual offences, </w:t>
      </w:r>
      <w:r w:rsidR="007D2836">
        <w:rPr>
          <w:rFonts w:ascii="Arial" w:hAnsi="Arial" w:cs="Arial"/>
        </w:rPr>
        <w:t xml:space="preserve">all crimes in terms of the Sexual Offences Act, Act </w:t>
      </w:r>
      <w:r w:rsidR="002E62D1">
        <w:rPr>
          <w:rFonts w:ascii="Arial" w:hAnsi="Arial" w:cs="Arial"/>
        </w:rPr>
        <w:t xml:space="preserve">No. </w:t>
      </w:r>
      <w:r w:rsidR="007D2836">
        <w:rPr>
          <w:rFonts w:ascii="Arial" w:hAnsi="Arial" w:cs="Arial"/>
        </w:rPr>
        <w:t>32 of 2007</w:t>
      </w:r>
      <w:r>
        <w:rPr>
          <w:rFonts w:ascii="Arial" w:hAnsi="Arial" w:cs="Arial"/>
        </w:rPr>
        <w:t>,</w:t>
      </w:r>
      <w:r w:rsidR="007D2836">
        <w:rPr>
          <w:rFonts w:ascii="Arial" w:hAnsi="Arial" w:cs="Arial"/>
        </w:rPr>
        <w:t xml:space="preserve"> is remarka</w:t>
      </w:r>
      <w:r w:rsidR="002E62D1">
        <w:rPr>
          <w:rFonts w:ascii="Arial" w:hAnsi="Arial" w:cs="Arial"/>
        </w:rPr>
        <w:t>bly higher as indicated in the t</w:t>
      </w:r>
      <w:r w:rsidR="007D2836">
        <w:rPr>
          <w:rFonts w:ascii="Arial" w:hAnsi="Arial" w:cs="Arial"/>
        </w:rPr>
        <w:t>able below:</w:t>
      </w:r>
    </w:p>
    <w:tbl>
      <w:tblPr>
        <w:tblW w:w="8930" w:type="dxa"/>
        <w:tblInd w:w="534" w:type="dxa"/>
        <w:tblLook w:val="04A0"/>
      </w:tblPr>
      <w:tblGrid>
        <w:gridCol w:w="2340"/>
        <w:gridCol w:w="1744"/>
        <w:gridCol w:w="4950"/>
      </w:tblGrid>
      <w:tr w:rsidR="00F1049B" w:rsidRPr="00BC13F5" w:rsidTr="00BC13F5">
        <w:trPr>
          <w:trHeight w:val="300"/>
        </w:trPr>
        <w:tc>
          <w:tcPr>
            <w:tcW w:w="2340" w:type="dxa"/>
            <w:tcBorders>
              <w:top w:val="single" w:sz="4" w:space="0" w:color="8EA9DB"/>
              <w:left w:val="single" w:sz="4" w:space="0" w:color="8EA9DB"/>
              <w:bottom w:val="single" w:sz="4" w:space="0" w:color="8EA9DB"/>
              <w:right w:val="nil"/>
            </w:tcBorders>
            <w:shd w:val="clear" w:color="4472C4" w:fill="4472C4"/>
            <w:noWrap/>
            <w:vAlign w:val="center"/>
            <w:hideMark/>
          </w:tcPr>
          <w:p w:rsidR="00F1049B" w:rsidRPr="00BC13F5" w:rsidRDefault="00F1049B" w:rsidP="00BC13F5">
            <w:pPr>
              <w:spacing w:line="360" w:lineRule="auto"/>
              <w:jc w:val="center"/>
              <w:rPr>
                <w:rFonts w:ascii="Arial" w:hAnsi="Arial" w:cs="Arial"/>
                <w:b/>
                <w:bCs/>
                <w:color w:val="FFFFFF"/>
                <w:sz w:val="22"/>
                <w:szCs w:val="22"/>
              </w:rPr>
            </w:pPr>
            <w:r w:rsidRPr="00BC13F5">
              <w:rPr>
                <w:rFonts w:ascii="Arial" w:hAnsi="Arial" w:cs="Arial"/>
                <w:b/>
                <w:bCs/>
                <w:color w:val="FFFFFF"/>
                <w:sz w:val="22"/>
                <w:szCs w:val="22"/>
              </w:rPr>
              <w:t>YEAR</w:t>
            </w:r>
          </w:p>
        </w:tc>
        <w:tc>
          <w:tcPr>
            <w:tcW w:w="1640" w:type="dxa"/>
            <w:tcBorders>
              <w:top w:val="single" w:sz="4" w:space="0" w:color="8EA9DB"/>
              <w:left w:val="nil"/>
              <w:bottom w:val="single" w:sz="4" w:space="0" w:color="8EA9DB"/>
              <w:right w:val="nil"/>
            </w:tcBorders>
            <w:shd w:val="clear" w:color="4472C4" w:fill="4472C4"/>
            <w:noWrap/>
            <w:vAlign w:val="center"/>
            <w:hideMark/>
          </w:tcPr>
          <w:p w:rsidR="00F1049B" w:rsidRPr="00BC13F5" w:rsidRDefault="00F1049B" w:rsidP="00BC13F5">
            <w:pPr>
              <w:spacing w:line="360" w:lineRule="auto"/>
              <w:jc w:val="center"/>
              <w:rPr>
                <w:rFonts w:ascii="Arial" w:hAnsi="Arial" w:cs="Arial"/>
                <w:b/>
                <w:bCs/>
                <w:color w:val="FFFFFF"/>
                <w:sz w:val="22"/>
                <w:szCs w:val="22"/>
              </w:rPr>
            </w:pPr>
            <w:r w:rsidRPr="00BC13F5">
              <w:rPr>
                <w:rFonts w:ascii="Arial" w:hAnsi="Arial" w:cs="Arial"/>
                <w:b/>
                <w:bCs/>
                <w:color w:val="FFFFFF"/>
                <w:sz w:val="22"/>
                <w:szCs w:val="22"/>
              </w:rPr>
              <w:t>CONVICTIONS</w:t>
            </w:r>
          </w:p>
        </w:tc>
        <w:tc>
          <w:tcPr>
            <w:tcW w:w="4950" w:type="dxa"/>
            <w:tcBorders>
              <w:top w:val="single" w:sz="4" w:space="0" w:color="8EA9DB"/>
              <w:left w:val="nil"/>
              <w:bottom w:val="single" w:sz="4" w:space="0" w:color="8EA9DB"/>
              <w:right w:val="single" w:sz="4" w:space="0" w:color="8EA9DB"/>
            </w:tcBorders>
            <w:shd w:val="clear" w:color="4472C4" w:fill="4472C4"/>
            <w:noWrap/>
            <w:vAlign w:val="center"/>
            <w:hideMark/>
          </w:tcPr>
          <w:p w:rsidR="00F1049B" w:rsidRPr="00BC13F5" w:rsidRDefault="00F1049B" w:rsidP="00BC13F5">
            <w:pPr>
              <w:spacing w:line="360" w:lineRule="auto"/>
              <w:jc w:val="center"/>
              <w:rPr>
                <w:rFonts w:ascii="Arial" w:hAnsi="Arial" w:cs="Arial"/>
                <w:b/>
                <w:bCs/>
                <w:color w:val="FFFFFF"/>
                <w:sz w:val="22"/>
                <w:szCs w:val="22"/>
              </w:rPr>
            </w:pPr>
            <w:r w:rsidRPr="00BC13F5">
              <w:rPr>
                <w:rFonts w:ascii="Arial" w:hAnsi="Arial" w:cs="Arial"/>
                <w:b/>
                <w:bCs/>
                <w:color w:val="FFFFFF"/>
                <w:sz w:val="22"/>
                <w:szCs w:val="22"/>
              </w:rPr>
              <w:t>CONVICTION RATE</w:t>
            </w:r>
          </w:p>
        </w:tc>
      </w:tr>
      <w:tr w:rsidR="00F1049B" w:rsidRPr="00BC13F5" w:rsidTr="00BC13F5">
        <w:trPr>
          <w:trHeight w:val="300"/>
        </w:trPr>
        <w:tc>
          <w:tcPr>
            <w:tcW w:w="2340" w:type="dxa"/>
            <w:tcBorders>
              <w:top w:val="single" w:sz="4" w:space="0" w:color="8EA9DB"/>
              <w:left w:val="single" w:sz="4" w:space="0" w:color="8EA9DB"/>
              <w:bottom w:val="single" w:sz="4" w:space="0" w:color="8EA9DB"/>
              <w:right w:val="nil"/>
            </w:tcBorders>
            <w:shd w:val="clear" w:color="D9E1F2" w:fill="D9E1F2"/>
            <w:noWrap/>
            <w:vAlign w:val="bottom"/>
            <w:hideMark/>
          </w:tcPr>
          <w:p w:rsidR="00F1049B" w:rsidRPr="00BC13F5" w:rsidRDefault="00F1049B" w:rsidP="00BC13F5">
            <w:pPr>
              <w:spacing w:line="360" w:lineRule="auto"/>
              <w:rPr>
                <w:rFonts w:ascii="Arial" w:hAnsi="Arial" w:cs="Arial"/>
                <w:color w:val="000000"/>
                <w:sz w:val="22"/>
                <w:szCs w:val="22"/>
              </w:rPr>
            </w:pPr>
            <w:r w:rsidRPr="00BC13F5">
              <w:rPr>
                <w:rFonts w:ascii="Arial" w:hAnsi="Arial" w:cs="Arial"/>
                <w:color w:val="000000"/>
                <w:sz w:val="22"/>
                <w:szCs w:val="22"/>
              </w:rPr>
              <w:t>2018/19</w:t>
            </w:r>
          </w:p>
        </w:tc>
        <w:tc>
          <w:tcPr>
            <w:tcW w:w="1640" w:type="dxa"/>
            <w:tcBorders>
              <w:top w:val="single" w:sz="4" w:space="0" w:color="8EA9DB"/>
              <w:left w:val="nil"/>
              <w:bottom w:val="single" w:sz="4" w:space="0" w:color="8EA9DB"/>
              <w:right w:val="nil"/>
            </w:tcBorders>
            <w:shd w:val="clear" w:color="D9E1F2" w:fill="D9E1F2"/>
            <w:noWrap/>
            <w:vAlign w:val="bottom"/>
            <w:hideMark/>
          </w:tcPr>
          <w:p w:rsidR="00F1049B" w:rsidRPr="00BC13F5" w:rsidRDefault="00BD1949" w:rsidP="00BC13F5">
            <w:pPr>
              <w:spacing w:line="360" w:lineRule="auto"/>
              <w:jc w:val="center"/>
              <w:rPr>
                <w:rFonts w:ascii="Arial" w:hAnsi="Arial" w:cs="Arial"/>
                <w:color w:val="000000"/>
                <w:sz w:val="22"/>
                <w:szCs w:val="22"/>
              </w:rPr>
            </w:pPr>
            <w:r w:rsidRPr="00BC13F5">
              <w:rPr>
                <w:rFonts w:ascii="Arial" w:hAnsi="Arial" w:cs="Arial"/>
                <w:color w:val="000000"/>
                <w:sz w:val="22"/>
                <w:szCs w:val="22"/>
              </w:rPr>
              <w:t>4 724</w:t>
            </w:r>
          </w:p>
        </w:tc>
        <w:tc>
          <w:tcPr>
            <w:tcW w:w="4950" w:type="dxa"/>
            <w:tcBorders>
              <w:top w:val="single" w:sz="4" w:space="0" w:color="8EA9DB"/>
              <w:left w:val="nil"/>
              <w:bottom w:val="single" w:sz="4" w:space="0" w:color="8EA9DB"/>
              <w:right w:val="single" w:sz="4" w:space="0" w:color="8EA9DB"/>
            </w:tcBorders>
            <w:shd w:val="clear" w:color="D9E1F2" w:fill="D9E1F2"/>
            <w:noWrap/>
            <w:vAlign w:val="bottom"/>
            <w:hideMark/>
          </w:tcPr>
          <w:p w:rsidR="00F1049B" w:rsidRPr="00BC13F5" w:rsidRDefault="00F1049B" w:rsidP="00BC13F5">
            <w:pPr>
              <w:spacing w:line="360" w:lineRule="auto"/>
              <w:jc w:val="center"/>
              <w:rPr>
                <w:rFonts w:ascii="Arial" w:hAnsi="Arial" w:cs="Arial"/>
                <w:color w:val="000000"/>
                <w:sz w:val="22"/>
                <w:szCs w:val="22"/>
              </w:rPr>
            </w:pPr>
            <w:r w:rsidRPr="00BC13F5">
              <w:rPr>
                <w:rFonts w:ascii="Arial" w:hAnsi="Arial" w:cs="Arial"/>
                <w:color w:val="000000"/>
                <w:sz w:val="22"/>
                <w:szCs w:val="22"/>
              </w:rPr>
              <w:t>7</w:t>
            </w:r>
            <w:r w:rsidR="00BD1949" w:rsidRPr="00BC13F5">
              <w:rPr>
                <w:rFonts w:ascii="Arial" w:hAnsi="Arial" w:cs="Arial"/>
                <w:color w:val="000000"/>
                <w:sz w:val="22"/>
                <w:szCs w:val="22"/>
              </w:rPr>
              <w:t>4.4</w:t>
            </w:r>
            <w:r w:rsidRPr="00BC13F5">
              <w:rPr>
                <w:rFonts w:ascii="Arial" w:hAnsi="Arial" w:cs="Arial"/>
                <w:color w:val="000000"/>
                <w:sz w:val="22"/>
                <w:szCs w:val="22"/>
              </w:rPr>
              <w:t>%</w:t>
            </w:r>
          </w:p>
        </w:tc>
      </w:tr>
      <w:tr w:rsidR="00F1049B" w:rsidRPr="00BC13F5" w:rsidTr="00BC13F5">
        <w:trPr>
          <w:trHeight w:val="300"/>
        </w:trPr>
        <w:tc>
          <w:tcPr>
            <w:tcW w:w="2340" w:type="dxa"/>
            <w:tcBorders>
              <w:top w:val="single" w:sz="4" w:space="0" w:color="8EA9DB"/>
              <w:left w:val="single" w:sz="4" w:space="0" w:color="8EA9DB"/>
              <w:bottom w:val="single" w:sz="4" w:space="0" w:color="8EA9DB"/>
              <w:right w:val="nil"/>
            </w:tcBorders>
            <w:shd w:val="clear" w:color="auto" w:fill="auto"/>
            <w:noWrap/>
            <w:vAlign w:val="bottom"/>
            <w:hideMark/>
          </w:tcPr>
          <w:p w:rsidR="00F1049B" w:rsidRPr="00BC13F5" w:rsidRDefault="00F1049B" w:rsidP="00BC13F5">
            <w:pPr>
              <w:spacing w:line="360" w:lineRule="auto"/>
              <w:rPr>
                <w:rFonts w:ascii="Arial" w:hAnsi="Arial" w:cs="Arial"/>
                <w:color w:val="000000"/>
                <w:sz w:val="22"/>
                <w:szCs w:val="22"/>
              </w:rPr>
            </w:pPr>
            <w:r w:rsidRPr="00BC13F5">
              <w:rPr>
                <w:rFonts w:ascii="Arial" w:hAnsi="Arial" w:cs="Arial"/>
                <w:color w:val="000000"/>
                <w:sz w:val="22"/>
                <w:szCs w:val="22"/>
              </w:rPr>
              <w:t>2019/20</w:t>
            </w:r>
          </w:p>
        </w:tc>
        <w:tc>
          <w:tcPr>
            <w:tcW w:w="1640" w:type="dxa"/>
            <w:tcBorders>
              <w:top w:val="single" w:sz="4" w:space="0" w:color="8EA9DB"/>
              <w:left w:val="nil"/>
              <w:bottom w:val="single" w:sz="4" w:space="0" w:color="8EA9DB"/>
              <w:right w:val="nil"/>
            </w:tcBorders>
            <w:shd w:val="clear" w:color="auto" w:fill="auto"/>
            <w:noWrap/>
            <w:vAlign w:val="bottom"/>
            <w:hideMark/>
          </w:tcPr>
          <w:p w:rsidR="00F1049B" w:rsidRPr="00BC13F5" w:rsidRDefault="00BD1949" w:rsidP="00BC13F5">
            <w:pPr>
              <w:spacing w:line="360" w:lineRule="auto"/>
              <w:jc w:val="center"/>
              <w:rPr>
                <w:rFonts w:ascii="Arial" w:hAnsi="Arial" w:cs="Arial"/>
                <w:color w:val="000000"/>
                <w:sz w:val="22"/>
                <w:szCs w:val="22"/>
              </w:rPr>
            </w:pPr>
            <w:r w:rsidRPr="00BC13F5">
              <w:rPr>
                <w:rFonts w:ascii="Arial" w:hAnsi="Arial" w:cs="Arial"/>
                <w:color w:val="000000"/>
                <w:sz w:val="22"/>
                <w:szCs w:val="22"/>
              </w:rPr>
              <w:t>4 098</w:t>
            </w:r>
          </w:p>
        </w:tc>
        <w:tc>
          <w:tcPr>
            <w:tcW w:w="4950" w:type="dxa"/>
            <w:tcBorders>
              <w:top w:val="single" w:sz="4" w:space="0" w:color="8EA9DB"/>
              <w:left w:val="nil"/>
              <w:bottom w:val="single" w:sz="4" w:space="0" w:color="8EA9DB"/>
              <w:right w:val="single" w:sz="4" w:space="0" w:color="8EA9DB"/>
            </w:tcBorders>
            <w:shd w:val="clear" w:color="auto" w:fill="auto"/>
            <w:noWrap/>
            <w:vAlign w:val="bottom"/>
            <w:hideMark/>
          </w:tcPr>
          <w:p w:rsidR="00F1049B" w:rsidRPr="00BC13F5" w:rsidRDefault="00F1049B" w:rsidP="00BC13F5">
            <w:pPr>
              <w:spacing w:line="360" w:lineRule="auto"/>
              <w:jc w:val="center"/>
              <w:rPr>
                <w:rFonts w:ascii="Arial" w:hAnsi="Arial" w:cs="Arial"/>
                <w:color w:val="000000"/>
                <w:sz w:val="22"/>
                <w:szCs w:val="22"/>
              </w:rPr>
            </w:pPr>
            <w:r w:rsidRPr="00BC13F5">
              <w:rPr>
                <w:rFonts w:ascii="Arial" w:hAnsi="Arial" w:cs="Arial"/>
                <w:color w:val="000000"/>
                <w:sz w:val="22"/>
                <w:szCs w:val="22"/>
              </w:rPr>
              <w:t>7</w:t>
            </w:r>
            <w:r w:rsidR="00BD1949" w:rsidRPr="00BC13F5">
              <w:rPr>
                <w:rFonts w:ascii="Arial" w:hAnsi="Arial" w:cs="Arial"/>
                <w:color w:val="000000"/>
                <w:sz w:val="22"/>
                <w:szCs w:val="22"/>
              </w:rPr>
              <w:t>5.2</w:t>
            </w:r>
            <w:r w:rsidRPr="00BC13F5">
              <w:rPr>
                <w:rFonts w:ascii="Arial" w:hAnsi="Arial" w:cs="Arial"/>
                <w:color w:val="000000"/>
                <w:sz w:val="22"/>
                <w:szCs w:val="22"/>
              </w:rPr>
              <w:t>%</w:t>
            </w:r>
          </w:p>
        </w:tc>
      </w:tr>
      <w:tr w:rsidR="00F1049B" w:rsidRPr="00BC13F5" w:rsidTr="00BC13F5">
        <w:trPr>
          <w:trHeight w:val="300"/>
        </w:trPr>
        <w:tc>
          <w:tcPr>
            <w:tcW w:w="2340" w:type="dxa"/>
            <w:tcBorders>
              <w:top w:val="single" w:sz="4" w:space="0" w:color="8EA9DB"/>
              <w:left w:val="single" w:sz="4" w:space="0" w:color="8EA9DB"/>
              <w:bottom w:val="single" w:sz="4" w:space="0" w:color="8EA9DB"/>
              <w:right w:val="nil"/>
            </w:tcBorders>
            <w:shd w:val="clear" w:color="D9E1F2" w:fill="D9E1F2"/>
            <w:noWrap/>
            <w:vAlign w:val="bottom"/>
            <w:hideMark/>
          </w:tcPr>
          <w:p w:rsidR="00F1049B" w:rsidRPr="00BC13F5" w:rsidRDefault="00F1049B" w:rsidP="00BC13F5">
            <w:pPr>
              <w:spacing w:line="360" w:lineRule="auto"/>
              <w:rPr>
                <w:rFonts w:ascii="Arial" w:hAnsi="Arial" w:cs="Arial"/>
                <w:color w:val="000000"/>
                <w:sz w:val="22"/>
                <w:szCs w:val="22"/>
              </w:rPr>
            </w:pPr>
            <w:r w:rsidRPr="00BC13F5">
              <w:rPr>
                <w:rFonts w:ascii="Arial" w:hAnsi="Arial" w:cs="Arial"/>
                <w:color w:val="000000"/>
                <w:sz w:val="22"/>
                <w:szCs w:val="22"/>
              </w:rPr>
              <w:t>2020/21</w:t>
            </w:r>
          </w:p>
        </w:tc>
        <w:tc>
          <w:tcPr>
            <w:tcW w:w="1640" w:type="dxa"/>
            <w:tcBorders>
              <w:top w:val="single" w:sz="4" w:space="0" w:color="8EA9DB"/>
              <w:left w:val="nil"/>
              <w:bottom w:val="single" w:sz="4" w:space="0" w:color="8EA9DB"/>
              <w:right w:val="nil"/>
            </w:tcBorders>
            <w:shd w:val="clear" w:color="D9E1F2" w:fill="D9E1F2"/>
            <w:noWrap/>
            <w:vAlign w:val="bottom"/>
            <w:hideMark/>
          </w:tcPr>
          <w:p w:rsidR="00F1049B" w:rsidRPr="00BC13F5" w:rsidRDefault="00BD1949" w:rsidP="00BC13F5">
            <w:pPr>
              <w:spacing w:line="360" w:lineRule="auto"/>
              <w:jc w:val="center"/>
              <w:rPr>
                <w:rFonts w:ascii="Arial" w:hAnsi="Arial" w:cs="Arial"/>
                <w:color w:val="000000"/>
                <w:sz w:val="22"/>
                <w:szCs w:val="22"/>
              </w:rPr>
            </w:pPr>
            <w:r w:rsidRPr="00BC13F5">
              <w:rPr>
                <w:rFonts w:ascii="Arial" w:hAnsi="Arial" w:cs="Arial"/>
                <w:color w:val="000000"/>
                <w:sz w:val="22"/>
                <w:szCs w:val="22"/>
              </w:rPr>
              <w:t>2 539</w:t>
            </w:r>
          </w:p>
        </w:tc>
        <w:tc>
          <w:tcPr>
            <w:tcW w:w="4950" w:type="dxa"/>
            <w:tcBorders>
              <w:top w:val="single" w:sz="4" w:space="0" w:color="8EA9DB"/>
              <w:left w:val="nil"/>
              <w:bottom w:val="single" w:sz="4" w:space="0" w:color="8EA9DB"/>
              <w:right w:val="single" w:sz="4" w:space="0" w:color="8EA9DB"/>
            </w:tcBorders>
            <w:shd w:val="clear" w:color="D9E1F2" w:fill="D9E1F2"/>
            <w:noWrap/>
            <w:vAlign w:val="bottom"/>
            <w:hideMark/>
          </w:tcPr>
          <w:p w:rsidR="00F1049B" w:rsidRPr="00BC13F5" w:rsidRDefault="00F1049B" w:rsidP="00BC13F5">
            <w:pPr>
              <w:spacing w:line="360" w:lineRule="auto"/>
              <w:jc w:val="center"/>
              <w:rPr>
                <w:rFonts w:ascii="Arial" w:hAnsi="Arial" w:cs="Arial"/>
                <w:color w:val="000000"/>
                <w:sz w:val="22"/>
                <w:szCs w:val="22"/>
              </w:rPr>
            </w:pPr>
            <w:r w:rsidRPr="00BC13F5">
              <w:rPr>
                <w:rFonts w:ascii="Arial" w:hAnsi="Arial" w:cs="Arial"/>
                <w:color w:val="000000"/>
                <w:sz w:val="22"/>
                <w:szCs w:val="22"/>
              </w:rPr>
              <w:t>7</w:t>
            </w:r>
            <w:r w:rsidR="00BD1949" w:rsidRPr="00BC13F5">
              <w:rPr>
                <w:rFonts w:ascii="Arial" w:hAnsi="Arial" w:cs="Arial"/>
                <w:color w:val="000000"/>
                <w:sz w:val="22"/>
                <w:szCs w:val="22"/>
              </w:rPr>
              <w:t>5.8</w:t>
            </w:r>
            <w:r w:rsidRPr="00BC13F5">
              <w:rPr>
                <w:rFonts w:ascii="Arial" w:hAnsi="Arial" w:cs="Arial"/>
                <w:color w:val="000000"/>
                <w:sz w:val="22"/>
                <w:szCs w:val="22"/>
              </w:rPr>
              <w:t>%</w:t>
            </w:r>
          </w:p>
        </w:tc>
      </w:tr>
      <w:tr w:rsidR="00F1049B" w:rsidRPr="00BC13F5" w:rsidTr="00BC13F5">
        <w:trPr>
          <w:trHeight w:val="300"/>
        </w:trPr>
        <w:tc>
          <w:tcPr>
            <w:tcW w:w="2340" w:type="dxa"/>
            <w:tcBorders>
              <w:top w:val="single" w:sz="4" w:space="0" w:color="8EA9DB"/>
              <w:left w:val="single" w:sz="4" w:space="0" w:color="8EA9DB"/>
              <w:bottom w:val="single" w:sz="4" w:space="0" w:color="8EA9DB"/>
              <w:right w:val="nil"/>
            </w:tcBorders>
            <w:shd w:val="clear" w:color="auto" w:fill="auto"/>
            <w:noWrap/>
            <w:vAlign w:val="bottom"/>
            <w:hideMark/>
          </w:tcPr>
          <w:p w:rsidR="00F1049B" w:rsidRPr="00BC13F5" w:rsidRDefault="00F1049B" w:rsidP="00BC13F5">
            <w:pPr>
              <w:spacing w:line="360" w:lineRule="auto"/>
              <w:rPr>
                <w:rFonts w:ascii="Arial" w:hAnsi="Arial" w:cs="Arial"/>
                <w:color w:val="000000"/>
                <w:sz w:val="22"/>
                <w:szCs w:val="22"/>
              </w:rPr>
            </w:pPr>
            <w:r w:rsidRPr="00BC13F5">
              <w:rPr>
                <w:rFonts w:ascii="Arial" w:hAnsi="Arial" w:cs="Arial"/>
                <w:color w:val="000000"/>
                <w:sz w:val="22"/>
                <w:szCs w:val="22"/>
              </w:rPr>
              <w:t>2021/22</w:t>
            </w:r>
          </w:p>
        </w:tc>
        <w:tc>
          <w:tcPr>
            <w:tcW w:w="1640" w:type="dxa"/>
            <w:tcBorders>
              <w:top w:val="single" w:sz="4" w:space="0" w:color="8EA9DB"/>
              <w:left w:val="nil"/>
              <w:bottom w:val="single" w:sz="4" w:space="0" w:color="8EA9DB"/>
              <w:right w:val="nil"/>
            </w:tcBorders>
            <w:shd w:val="clear" w:color="auto" w:fill="auto"/>
            <w:noWrap/>
            <w:vAlign w:val="bottom"/>
            <w:hideMark/>
          </w:tcPr>
          <w:p w:rsidR="00F1049B" w:rsidRPr="00BC13F5" w:rsidRDefault="00BD1949" w:rsidP="00BC13F5">
            <w:pPr>
              <w:spacing w:line="360" w:lineRule="auto"/>
              <w:jc w:val="center"/>
              <w:rPr>
                <w:rFonts w:ascii="Arial" w:hAnsi="Arial" w:cs="Arial"/>
                <w:color w:val="000000"/>
                <w:sz w:val="22"/>
                <w:szCs w:val="22"/>
              </w:rPr>
            </w:pPr>
            <w:r w:rsidRPr="00BC13F5">
              <w:rPr>
                <w:rFonts w:ascii="Arial" w:hAnsi="Arial" w:cs="Arial"/>
                <w:color w:val="000000"/>
                <w:sz w:val="22"/>
                <w:szCs w:val="22"/>
              </w:rPr>
              <w:t>3 402</w:t>
            </w:r>
          </w:p>
        </w:tc>
        <w:tc>
          <w:tcPr>
            <w:tcW w:w="4950" w:type="dxa"/>
            <w:tcBorders>
              <w:top w:val="single" w:sz="4" w:space="0" w:color="8EA9DB"/>
              <w:left w:val="nil"/>
              <w:bottom w:val="single" w:sz="4" w:space="0" w:color="8EA9DB"/>
              <w:right w:val="single" w:sz="4" w:space="0" w:color="8EA9DB"/>
            </w:tcBorders>
            <w:shd w:val="clear" w:color="auto" w:fill="auto"/>
            <w:noWrap/>
            <w:vAlign w:val="bottom"/>
            <w:hideMark/>
          </w:tcPr>
          <w:p w:rsidR="00F1049B" w:rsidRPr="00BC13F5" w:rsidRDefault="00F1049B" w:rsidP="00BC13F5">
            <w:pPr>
              <w:spacing w:line="360" w:lineRule="auto"/>
              <w:jc w:val="center"/>
              <w:rPr>
                <w:rFonts w:ascii="Arial" w:hAnsi="Arial" w:cs="Arial"/>
                <w:color w:val="000000"/>
                <w:sz w:val="22"/>
                <w:szCs w:val="22"/>
              </w:rPr>
            </w:pPr>
            <w:r w:rsidRPr="00BC13F5">
              <w:rPr>
                <w:rFonts w:ascii="Arial" w:hAnsi="Arial" w:cs="Arial"/>
                <w:color w:val="000000"/>
                <w:sz w:val="22"/>
                <w:szCs w:val="22"/>
              </w:rPr>
              <w:t>7</w:t>
            </w:r>
            <w:r w:rsidR="00BD1949" w:rsidRPr="00BC13F5">
              <w:rPr>
                <w:rFonts w:ascii="Arial" w:hAnsi="Arial" w:cs="Arial"/>
                <w:color w:val="000000"/>
                <w:sz w:val="22"/>
                <w:szCs w:val="22"/>
              </w:rPr>
              <w:t>4.2</w:t>
            </w:r>
            <w:r w:rsidRPr="00BC13F5">
              <w:rPr>
                <w:rFonts w:ascii="Arial" w:hAnsi="Arial" w:cs="Arial"/>
                <w:color w:val="000000"/>
                <w:sz w:val="22"/>
                <w:szCs w:val="22"/>
              </w:rPr>
              <w:t>%</w:t>
            </w:r>
          </w:p>
        </w:tc>
      </w:tr>
    </w:tbl>
    <w:p w:rsidR="009B545D" w:rsidRPr="00D81BDE" w:rsidRDefault="009B545D" w:rsidP="00BC13F5">
      <w:pPr>
        <w:spacing w:line="360" w:lineRule="auto"/>
        <w:jc w:val="both"/>
        <w:rPr>
          <w:rFonts w:ascii="Arial" w:hAnsi="Arial" w:cs="Arial"/>
        </w:rPr>
      </w:pPr>
    </w:p>
    <w:sectPr w:rsidR="009B545D" w:rsidRPr="00D81BDE"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6F5" w:rsidRDefault="004716F5" w:rsidP="00913892">
      <w:r>
        <w:separator/>
      </w:r>
    </w:p>
  </w:endnote>
  <w:endnote w:type="continuationSeparator" w:id="0">
    <w:p w:rsidR="004716F5" w:rsidRDefault="004716F5"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4716F5" w:rsidRPr="004716F5">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6F5" w:rsidRDefault="004716F5" w:rsidP="00913892">
      <w:r>
        <w:separator/>
      </w:r>
    </w:p>
  </w:footnote>
  <w:footnote w:type="continuationSeparator" w:id="0">
    <w:p w:rsidR="004716F5" w:rsidRDefault="004716F5"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8A2EEF"/>
    <w:multiLevelType w:val="hybridMultilevel"/>
    <w:tmpl w:val="6FE06458"/>
    <w:lvl w:ilvl="0" w:tplc="4192E7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97255C6"/>
    <w:multiLevelType w:val="hybridMultilevel"/>
    <w:tmpl w:val="BB482C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1FE26FF"/>
    <w:multiLevelType w:val="hybridMultilevel"/>
    <w:tmpl w:val="74C62F34"/>
    <w:lvl w:ilvl="0" w:tplc="3C68DAE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DD9346E"/>
    <w:multiLevelType w:val="hybridMultilevel"/>
    <w:tmpl w:val="A15E27EC"/>
    <w:lvl w:ilvl="0" w:tplc="16F62F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A016354"/>
    <w:multiLevelType w:val="hybridMultilevel"/>
    <w:tmpl w:val="CC5C9EA0"/>
    <w:lvl w:ilvl="0" w:tplc="16F62F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B9B790B"/>
    <w:multiLevelType w:val="hybridMultilevel"/>
    <w:tmpl w:val="BB482C1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CC43201"/>
    <w:multiLevelType w:val="hybridMultilevel"/>
    <w:tmpl w:val="228C9576"/>
    <w:lvl w:ilvl="0" w:tplc="0986CDCE">
      <w:start w:val="2"/>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1"/>
  </w:num>
  <w:num w:numId="5">
    <w:abstractNumId w:val="0"/>
  </w:num>
  <w:num w:numId="6">
    <w:abstractNumId w:val="9"/>
  </w:num>
  <w:num w:numId="7">
    <w:abstractNumId w:val="17"/>
  </w:num>
  <w:num w:numId="8">
    <w:abstractNumId w:val="4"/>
  </w:num>
  <w:num w:numId="9">
    <w:abstractNumId w:val="10"/>
  </w:num>
  <w:num w:numId="10">
    <w:abstractNumId w:val="18"/>
  </w:num>
  <w:num w:numId="11">
    <w:abstractNumId w:val="2"/>
  </w:num>
  <w:num w:numId="12">
    <w:abstractNumId w:val="14"/>
  </w:num>
  <w:num w:numId="13">
    <w:abstractNumId w:val="5"/>
  </w:num>
  <w:num w:numId="14">
    <w:abstractNumId w:val="3"/>
  </w:num>
  <w:num w:numId="15">
    <w:abstractNumId w:val="7"/>
  </w:num>
  <w:num w:numId="16">
    <w:abstractNumId w:val="16"/>
  </w:num>
  <w:num w:numId="17">
    <w:abstractNumId w:val="13"/>
  </w:num>
  <w:num w:numId="18">
    <w:abstractNumId w:val="1"/>
  </w:num>
  <w:num w:numId="19">
    <w:abstractNumId w:val="15"/>
  </w:num>
  <w:num w:numId="20">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7600"/>
    <w:rsid w:val="00017971"/>
    <w:rsid w:val="00026EC0"/>
    <w:rsid w:val="00030927"/>
    <w:rsid w:val="0004105D"/>
    <w:rsid w:val="0004190C"/>
    <w:rsid w:val="00046588"/>
    <w:rsid w:val="00052CE2"/>
    <w:rsid w:val="00067090"/>
    <w:rsid w:val="0006774F"/>
    <w:rsid w:val="00070401"/>
    <w:rsid w:val="0007147A"/>
    <w:rsid w:val="00072E1B"/>
    <w:rsid w:val="00072FF8"/>
    <w:rsid w:val="0007655F"/>
    <w:rsid w:val="00080B73"/>
    <w:rsid w:val="000A34E5"/>
    <w:rsid w:val="000A3DA5"/>
    <w:rsid w:val="000B5E45"/>
    <w:rsid w:val="000C01D4"/>
    <w:rsid w:val="000D4F57"/>
    <w:rsid w:val="000E6772"/>
    <w:rsid w:val="000E7085"/>
    <w:rsid w:val="000E76BA"/>
    <w:rsid w:val="000F24EB"/>
    <w:rsid w:val="000F7117"/>
    <w:rsid w:val="00105174"/>
    <w:rsid w:val="00110B8F"/>
    <w:rsid w:val="00110EC8"/>
    <w:rsid w:val="0011308C"/>
    <w:rsid w:val="00120775"/>
    <w:rsid w:val="00125D94"/>
    <w:rsid w:val="00130BDB"/>
    <w:rsid w:val="001314B9"/>
    <w:rsid w:val="00134C16"/>
    <w:rsid w:val="001354F5"/>
    <w:rsid w:val="0014029F"/>
    <w:rsid w:val="00144111"/>
    <w:rsid w:val="00156483"/>
    <w:rsid w:val="00161FC4"/>
    <w:rsid w:val="0016515D"/>
    <w:rsid w:val="001702F2"/>
    <w:rsid w:val="00171528"/>
    <w:rsid w:val="00173403"/>
    <w:rsid w:val="001774BC"/>
    <w:rsid w:val="001848C4"/>
    <w:rsid w:val="00192D26"/>
    <w:rsid w:val="00194B05"/>
    <w:rsid w:val="0019515C"/>
    <w:rsid w:val="001A6D2A"/>
    <w:rsid w:val="001B00F0"/>
    <w:rsid w:val="001B4619"/>
    <w:rsid w:val="001B51B9"/>
    <w:rsid w:val="001C722C"/>
    <w:rsid w:val="001C7F3F"/>
    <w:rsid w:val="001D2E53"/>
    <w:rsid w:val="001D4F07"/>
    <w:rsid w:val="001E07C7"/>
    <w:rsid w:val="001E1642"/>
    <w:rsid w:val="001E1BE7"/>
    <w:rsid w:val="001E48EE"/>
    <w:rsid w:val="001E6A90"/>
    <w:rsid w:val="001F41F3"/>
    <w:rsid w:val="001F445E"/>
    <w:rsid w:val="001F6711"/>
    <w:rsid w:val="00203F6A"/>
    <w:rsid w:val="00213182"/>
    <w:rsid w:val="0021549B"/>
    <w:rsid w:val="002155C4"/>
    <w:rsid w:val="00224067"/>
    <w:rsid w:val="002269FD"/>
    <w:rsid w:val="00227505"/>
    <w:rsid w:val="00260B24"/>
    <w:rsid w:val="00262ACE"/>
    <w:rsid w:val="00263360"/>
    <w:rsid w:val="00275216"/>
    <w:rsid w:val="0027707E"/>
    <w:rsid w:val="0028030F"/>
    <w:rsid w:val="00281574"/>
    <w:rsid w:val="002857B6"/>
    <w:rsid w:val="00286311"/>
    <w:rsid w:val="00291065"/>
    <w:rsid w:val="002A0DB1"/>
    <w:rsid w:val="002A15AC"/>
    <w:rsid w:val="002A6273"/>
    <w:rsid w:val="002B2B31"/>
    <w:rsid w:val="002B6D18"/>
    <w:rsid w:val="002C0488"/>
    <w:rsid w:val="002C719B"/>
    <w:rsid w:val="002D3D40"/>
    <w:rsid w:val="002D5BF7"/>
    <w:rsid w:val="002D7BBD"/>
    <w:rsid w:val="002E62D1"/>
    <w:rsid w:val="002E7253"/>
    <w:rsid w:val="002E79C9"/>
    <w:rsid w:val="002F0034"/>
    <w:rsid w:val="002F22DD"/>
    <w:rsid w:val="0031652F"/>
    <w:rsid w:val="00322BA4"/>
    <w:rsid w:val="003401CA"/>
    <w:rsid w:val="00346942"/>
    <w:rsid w:val="003520B5"/>
    <w:rsid w:val="0037187E"/>
    <w:rsid w:val="003767D7"/>
    <w:rsid w:val="003771A4"/>
    <w:rsid w:val="00381B64"/>
    <w:rsid w:val="00383858"/>
    <w:rsid w:val="00384847"/>
    <w:rsid w:val="00386CA6"/>
    <w:rsid w:val="003A0684"/>
    <w:rsid w:val="003A64C5"/>
    <w:rsid w:val="003A6AD0"/>
    <w:rsid w:val="003B0260"/>
    <w:rsid w:val="003C43F4"/>
    <w:rsid w:val="003C4D22"/>
    <w:rsid w:val="003C5B62"/>
    <w:rsid w:val="003D526D"/>
    <w:rsid w:val="003D780B"/>
    <w:rsid w:val="003E0CEE"/>
    <w:rsid w:val="003E72AB"/>
    <w:rsid w:val="003F2E8D"/>
    <w:rsid w:val="003F3BE0"/>
    <w:rsid w:val="003F5064"/>
    <w:rsid w:val="003F6245"/>
    <w:rsid w:val="004031F8"/>
    <w:rsid w:val="00404F7B"/>
    <w:rsid w:val="00417DB4"/>
    <w:rsid w:val="004219B4"/>
    <w:rsid w:val="00422DF6"/>
    <w:rsid w:val="00431C9F"/>
    <w:rsid w:val="00433054"/>
    <w:rsid w:val="00433C19"/>
    <w:rsid w:val="00436057"/>
    <w:rsid w:val="00436842"/>
    <w:rsid w:val="00440FFF"/>
    <w:rsid w:val="00441BD5"/>
    <w:rsid w:val="00441D9E"/>
    <w:rsid w:val="004443E6"/>
    <w:rsid w:val="00447BA5"/>
    <w:rsid w:val="004572CE"/>
    <w:rsid w:val="00465448"/>
    <w:rsid w:val="00465A51"/>
    <w:rsid w:val="004716F5"/>
    <w:rsid w:val="00487720"/>
    <w:rsid w:val="004926BD"/>
    <w:rsid w:val="00493775"/>
    <w:rsid w:val="004B6B6B"/>
    <w:rsid w:val="004E7CD4"/>
    <w:rsid w:val="004F6FEC"/>
    <w:rsid w:val="00502868"/>
    <w:rsid w:val="00515B6A"/>
    <w:rsid w:val="005160F8"/>
    <w:rsid w:val="0054211D"/>
    <w:rsid w:val="00544D9F"/>
    <w:rsid w:val="005454FB"/>
    <w:rsid w:val="0055390B"/>
    <w:rsid w:val="005601A1"/>
    <w:rsid w:val="00572F09"/>
    <w:rsid w:val="005772C1"/>
    <w:rsid w:val="005835BC"/>
    <w:rsid w:val="005856A7"/>
    <w:rsid w:val="00585897"/>
    <w:rsid w:val="00586FCA"/>
    <w:rsid w:val="00590888"/>
    <w:rsid w:val="005A2F69"/>
    <w:rsid w:val="005A42CF"/>
    <w:rsid w:val="005B6209"/>
    <w:rsid w:val="005C4580"/>
    <w:rsid w:val="005D146C"/>
    <w:rsid w:val="005D1EEF"/>
    <w:rsid w:val="005E365A"/>
    <w:rsid w:val="005E6608"/>
    <w:rsid w:val="00600349"/>
    <w:rsid w:val="00601EBF"/>
    <w:rsid w:val="006020ED"/>
    <w:rsid w:val="00604F50"/>
    <w:rsid w:val="00611D96"/>
    <w:rsid w:val="00612214"/>
    <w:rsid w:val="00625CD7"/>
    <w:rsid w:val="00630932"/>
    <w:rsid w:val="00632AE9"/>
    <w:rsid w:val="0064539A"/>
    <w:rsid w:val="006538AF"/>
    <w:rsid w:val="006538C4"/>
    <w:rsid w:val="00653FE5"/>
    <w:rsid w:val="00661BE2"/>
    <w:rsid w:val="00670788"/>
    <w:rsid w:val="0067545A"/>
    <w:rsid w:val="0068134B"/>
    <w:rsid w:val="00682A34"/>
    <w:rsid w:val="006921BE"/>
    <w:rsid w:val="006959E4"/>
    <w:rsid w:val="006A33CE"/>
    <w:rsid w:val="006A35FB"/>
    <w:rsid w:val="006A4983"/>
    <w:rsid w:val="006B0F80"/>
    <w:rsid w:val="006B1DED"/>
    <w:rsid w:val="006B389F"/>
    <w:rsid w:val="006B722A"/>
    <w:rsid w:val="006C0567"/>
    <w:rsid w:val="006D21F9"/>
    <w:rsid w:val="006D7E71"/>
    <w:rsid w:val="006E7B00"/>
    <w:rsid w:val="006E7BC1"/>
    <w:rsid w:val="006F2454"/>
    <w:rsid w:val="006F3AC0"/>
    <w:rsid w:val="006F63D7"/>
    <w:rsid w:val="007120E2"/>
    <w:rsid w:val="00720D4C"/>
    <w:rsid w:val="00724689"/>
    <w:rsid w:val="007261FA"/>
    <w:rsid w:val="00736A06"/>
    <w:rsid w:val="00740A5A"/>
    <w:rsid w:val="00745638"/>
    <w:rsid w:val="007540CF"/>
    <w:rsid w:val="00755C22"/>
    <w:rsid w:val="00757E02"/>
    <w:rsid w:val="00760BFE"/>
    <w:rsid w:val="00765301"/>
    <w:rsid w:val="00774F8F"/>
    <w:rsid w:val="00777A77"/>
    <w:rsid w:val="0078425B"/>
    <w:rsid w:val="00791471"/>
    <w:rsid w:val="007961D4"/>
    <w:rsid w:val="007B340B"/>
    <w:rsid w:val="007B7829"/>
    <w:rsid w:val="007C0AC3"/>
    <w:rsid w:val="007C1863"/>
    <w:rsid w:val="007C70B0"/>
    <w:rsid w:val="007D2836"/>
    <w:rsid w:val="007E6925"/>
    <w:rsid w:val="007E7201"/>
    <w:rsid w:val="007F2B0B"/>
    <w:rsid w:val="007F3217"/>
    <w:rsid w:val="0080509D"/>
    <w:rsid w:val="008144C2"/>
    <w:rsid w:val="008169B8"/>
    <w:rsid w:val="00827AC9"/>
    <w:rsid w:val="00833136"/>
    <w:rsid w:val="00835EBF"/>
    <w:rsid w:val="00846897"/>
    <w:rsid w:val="0085527B"/>
    <w:rsid w:val="0085538B"/>
    <w:rsid w:val="00860D16"/>
    <w:rsid w:val="008616A2"/>
    <w:rsid w:val="00865132"/>
    <w:rsid w:val="008769EF"/>
    <w:rsid w:val="00881381"/>
    <w:rsid w:val="008858BF"/>
    <w:rsid w:val="00887FC2"/>
    <w:rsid w:val="00892846"/>
    <w:rsid w:val="0089703D"/>
    <w:rsid w:val="008A1398"/>
    <w:rsid w:val="008A1837"/>
    <w:rsid w:val="008A3101"/>
    <w:rsid w:val="008A7C1D"/>
    <w:rsid w:val="008B0AB6"/>
    <w:rsid w:val="008B1BCF"/>
    <w:rsid w:val="008C1A56"/>
    <w:rsid w:val="008D23F9"/>
    <w:rsid w:val="008D3C30"/>
    <w:rsid w:val="008D4373"/>
    <w:rsid w:val="008E312C"/>
    <w:rsid w:val="008E443E"/>
    <w:rsid w:val="008E78E6"/>
    <w:rsid w:val="008F1066"/>
    <w:rsid w:val="008F366F"/>
    <w:rsid w:val="008F6A5A"/>
    <w:rsid w:val="009025C1"/>
    <w:rsid w:val="00905C38"/>
    <w:rsid w:val="00911E50"/>
    <w:rsid w:val="009133DA"/>
    <w:rsid w:val="00913892"/>
    <w:rsid w:val="00917F4E"/>
    <w:rsid w:val="0092193B"/>
    <w:rsid w:val="009229AD"/>
    <w:rsid w:val="00931CAD"/>
    <w:rsid w:val="0094372F"/>
    <w:rsid w:val="009541F2"/>
    <w:rsid w:val="009551F2"/>
    <w:rsid w:val="00966E07"/>
    <w:rsid w:val="00973033"/>
    <w:rsid w:val="009761A7"/>
    <w:rsid w:val="009807D4"/>
    <w:rsid w:val="00983C6B"/>
    <w:rsid w:val="009853D5"/>
    <w:rsid w:val="009868D6"/>
    <w:rsid w:val="0098762D"/>
    <w:rsid w:val="009A755B"/>
    <w:rsid w:val="009B0CAB"/>
    <w:rsid w:val="009B545D"/>
    <w:rsid w:val="009C416B"/>
    <w:rsid w:val="009D1805"/>
    <w:rsid w:val="009D33E2"/>
    <w:rsid w:val="009D4F78"/>
    <w:rsid w:val="009D6016"/>
    <w:rsid w:val="009E0268"/>
    <w:rsid w:val="009E1C96"/>
    <w:rsid w:val="009F17AE"/>
    <w:rsid w:val="009F1B70"/>
    <w:rsid w:val="009F2D5C"/>
    <w:rsid w:val="00A13BBD"/>
    <w:rsid w:val="00A16DA7"/>
    <w:rsid w:val="00A349E9"/>
    <w:rsid w:val="00A37277"/>
    <w:rsid w:val="00A42301"/>
    <w:rsid w:val="00A4711C"/>
    <w:rsid w:val="00A5290F"/>
    <w:rsid w:val="00A5364A"/>
    <w:rsid w:val="00A623F2"/>
    <w:rsid w:val="00A64328"/>
    <w:rsid w:val="00A6432A"/>
    <w:rsid w:val="00A66729"/>
    <w:rsid w:val="00A70AFC"/>
    <w:rsid w:val="00A7136B"/>
    <w:rsid w:val="00A85935"/>
    <w:rsid w:val="00AA13DE"/>
    <w:rsid w:val="00AA2AB0"/>
    <w:rsid w:val="00AA39AC"/>
    <w:rsid w:val="00AA52CE"/>
    <w:rsid w:val="00AB23D3"/>
    <w:rsid w:val="00AD0B35"/>
    <w:rsid w:val="00AD7B7A"/>
    <w:rsid w:val="00AF06C1"/>
    <w:rsid w:val="00AF0F1A"/>
    <w:rsid w:val="00AF2D9C"/>
    <w:rsid w:val="00AF5D91"/>
    <w:rsid w:val="00B001DC"/>
    <w:rsid w:val="00B021CE"/>
    <w:rsid w:val="00B13369"/>
    <w:rsid w:val="00B170EA"/>
    <w:rsid w:val="00B26AB3"/>
    <w:rsid w:val="00B374E6"/>
    <w:rsid w:val="00B4078B"/>
    <w:rsid w:val="00B40A2F"/>
    <w:rsid w:val="00B45421"/>
    <w:rsid w:val="00B45D75"/>
    <w:rsid w:val="00B45FF3"/>
    <w:rsid w:val="00B46E62"/>
    <w:rsid w:val="00B553A6"/>
    <w:rsid w:val="00B76C9E"/>
    <w:rsid w:val="00B8345D"/>
    <w:rsid w:val="00B958BA"/>
    <w:rsid w:val="00B962D2"/>
    <w:rsid w:val="00BA2151"/>
    <w:rsid w:val="00BA3361"/>
    <w:rsid w:val="00BA3A67"/>
    <w:rsid w:val="00BA61AF"/>
    <w:rsid w:val="00BB53A8"/>
    <w:rsid w:val="00BB7991"/>
    <w:rsid w:val="00BC1021"/>
    <w:rsid w:val="00BC13F5"/>
    <w:rsid w:val="00BC2DC7"/>
    <w:rsid w:val="00BC7AFB"/>
    <w:rsid w:val="00BD1949"/>
    <w:rsid w:val="00BD3180"/>
    <w:rsid w:val="00BD597B"/>
    <w:rsid w:val="00BD6D36"/>
    <w:rsid w:val="00BE7822"/>
    <w:rsid w:val="00BF0672"/>
    <w:rsid w:val="00BF0809"/>
    <w:rsid w:val="00BF1930"/>
    <w:rsid w:val="00BF631A"/>
    <w:rsid w:val="00BF738D"/>
    <w:rsid w:val="00C15423"/>
    <w:rsid w:val="00C15D71"/>
    <w:rsid w:val="00C31057"/>
    <w:rsid w:val="00C331B7"/>
    <w:rsid w:val="00C356B4"/>
    <w:rsid w:val="00C360AA"/>
    <w:rsid w:val="00C3772F"/>
    <w:rsid w:val="00C41A50"/>
    <w:rsid w:val="00C71126"/>
    <w:rsid w:val="00C72A2D"/>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1617"/>
    <w:rsid w:val="00CD3DB4"/>
    <w:rsid w:val="00CD4D18"/>
    <w:rsid w:val="00CE0598"/>
    <w:rsid w:val="00CE2A17"/>
    <w:rsid w:val="00CE2AA2"/>
    <w:rsid w:val="00CE6B8A"/>
    <w:rsid w:val="00CF1B81"/>
    <w:rsid w:val="00D175DC"/>
    <w:rsid w:val="00D209A0"/>
    <w:rsid w:val="00D21AB4"/>
    <w:rsid w:val="00D222F0"/>
    <w:rsid w:val="00D24750"/>
    <w:rsid w:val="00D3067D"/>
    <w:rsid w:val="00D40276"/>
    <w:rsid w:val="00D41538"/>
    <w:rsid w:val="00D463C8"/>
    <w:rsid w:val="00D5013A"/>
    <w:rsid w:val="00D50C5D"/>
    <w:rsid w:val="00D54A16"/>
    <w:rsid w:val="00D56B43"/>
    <w:rsid w:val="00D6158A"/>
    <w:rsid w:val="00D63930"/>
    <w:rsid w:val="00D72006"/>
    <w:rsid w:val="00D72E9E"/>
    <w:rsid w:val="00D74CDB"/>
    <w:rsid w:val="00D764A0"/>
    <w:rsid w:val="00D76845"/>
    <w:rsid w:val="00D76DA7"/>
    <w:rsid w:val="00D80139"/>
    <w:rsid w:val="00D81BDE"/>
    <w:rsid w:val="00D86E52"/>
    <w:rsid w:val="00D93520"/>
    <w:rsid w:val="00D93903"/>
    <w:rsid w:val="00DA29F5"/>
    <w:rsid w:val="00DA495F"/>
    <w:rsid w:val="00DB11B2"/>
    <w:rsid w:val="00DC255C"/>
    <w:rsid w:val="00DC592F"/>
    <w:rsid w:val="00DC7CDA"/>
    <w:rsid w:val="00DE1284"/>
    <w:rsid w:val="00DF2638"/>
    <w:rsid w:val="00DF705C"/>
    <w:rsid w:val="00E1080E"/>
    <w:rsid w:val="00E17F42"/>
    <w:rsid w:val="00E21A4E"/>
    <w:rsid w:val="00E21A66"/>
    <w:rsid w:val="00E25344"/>
    <w:rsid w:val="00E27C60"/>
    <w:rsid w:val="00E30F9B"/>
    <w:rsid w:val="00E44AFC"/>
    <w:rsid w:val="00E55AFD"/>
    <w:rsid w:val="00EA4D5C"/>
    <w:rsid w:val="00EA53D2"/>
    <w:rsid w:val="00EA7A64"/>
    <w:rsid w:val="00EB54FA"/>
    <w:rsid w:val="00EB5C9A"/>
    <w:rsid w:val="00EB61E4"/>
    <w:rsid w:val="00EB6AC1"/>
    <w:rsid w:val="00EC5379"/>
    <w:rsid w:val="00ED072E"/>
    <w:rsid w:val="00ED2E2E"/>
    <w:rsid w:val="00ED4304"/>
    <w:rsid w:val="00ED4749"/>
    <w:rsid w:val="00ED5CF6"/>
    <w:rsid w:val="00EE1177"/>
    <w:rsid w:val="00EE1E09"/>
    <w:rsid w:val="00EE6AD6"/>
    <w:rsid w:val="00EF081C"/>
    <w:rsid w:val="00EF2E4B"/>
    <w:rsid w:val="00EF32C9"/>
    <w:rsid w:val="00EF5381"/>
    <w:rsid w:val="00F03144"/>
    <w:rsid w:val="00F061D6"/>
    <w:rsid w:val="00F1049B"/>
    <w:rsid w:val="00F20EAD"/>
    <w:rsid w:val="00F220CD"/>
    <w:rsid w:val="00F26B86"/>
    <w:rsid w:val="00F30D88"/>
    <w:rsid w:val="00F31805"/>
    <w:rsid w:val="00F339F1"/>
    <w:rsid w:val="00F3487E"/>
    <w:rsid w:val="00F3577C"/>
    <w:rsid w:val="00F36003"/>
    <w:rsid w:val="00F400F2"/>
    <w:rsid w:val="00F475A6"/>
    <w:rsid w:val="00F5419D"/>
    <w:rsid w:val="00F55893"/>
    <w:rsid w:val="00F56838"/>
    <w:rsid w:val="00F63F57"/>
    <w:rsid w:val="00F646C9"/>
    <w:rsid w:val="00F72F0D"/>
    <w:rsid w:val="00F739F4"/>
    <w:rsid w:val="00F8037A"/>
    <w:rsid w:val="00F80E79"/>
    <w:rsid w:val="00F845F2"/>
    <w:rsid w:val="00F86709"/>
    <w:rsid w:val="00F91926"/>
    <w:rsid w:val="00F921C9"/>
    <w:rsid w:val="00F95D9E"/>
    <w:rsid w:val="00FA26A6"/>
    <w:rsid w:val="00FA4D8E"/>
    <w:rsid w:val="00FA5D48"/>
    <w:rsid w:val="00FD2820"/>
    <w:rsid w:val="00FD32ED"/>
    <w:rsid w:val="00FD5CA1"/>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785006659">
      <w:bodyDiv w:val="1"/>
      <w:marLeft w:val="0"/>
      <w:marRight w:val="0"/>
      <w:marTop w:val="0"/>
      <w:marBottom w:val="0"/>
      <w:divBdr>
        <w:top w:val="none" w:sz="0" w:space="0" w:color="auto"/>
        <w:left w:val="none" w:sz="0" w:space="0" w:color="auto"/>
        <w:bottom w:val="none" w:sz="0" w:space="0" w:color="auto"/>
        <w:right w:val="none" w:sz="0" w:space="0" w:color="auto"/>
      </w:divBdr>
    </w:div>
    <w:div w:id="1208834072">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36726977">
      <w:bodyDiv w:val="1"/>
      <w:marLeft w:val="0"/>
      <w:marRight w:val="0"/>
      <w:marTop w:val="0"/>
      <w:marBottom w:val="0"/>
      <w:divBdr>
        <w:top w:val="none" w:sz="0" w:space="0" w:color="auto"/>
        <w:left w:val="none" w:sz="0" w:space="0" w:color="auto"/>
        <w:bottom w:val="none" w:sz="0" w:space="0" w:color="auto"/>
        <w:right w:val="none" w:sz="0" w:space="0" w:color="auto"/>
      </w:divBdr>
    </w:div>
    <w:div w:id="20861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2022-09-20T07:47:00Z</cp:lastPrinted>
  <dcterms:created xsi:type="dcterms:W3CDTF">2022-10-21T14:53:00Z</dcterms:created>
  <dcterms:modified xsi:type="dcterms:W3CDTF">2022-10-21T14:53:00Z</dcterms:modified>
</cp:coreProperties>
</file>