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7503AC">
      <w:pPr>
        <w:tabs>
          <w:tab w:val="left" w:pos="432"/>
          <w:tab w:val="left" w:pos="864"/>
        </w:tabs>
        <w:spacing w:line="360" w:lineRule="auto"/>
        <w:jc w:val="center"/>
        <w:rPr>
          <w:rFonts w:ascii="Arial" w:hAnsi="Arial" w:cs="Arial"/>
          <w:b/>
          <w:sz w:val="22"/>
          <w:szCs w:val="22"/>
        </w:rPr>
      </w:pPr>
      <w:r w:rsidRPr="001B0917">
        <w:rPr>
          <w:rFonts w:ascii="Arial" w:hAnsi="Arial" w:cs="Arial"/>
          <w:b/>
          <w:sz w:val="22"/>
          <w:szCs w:val="22"/>
        </w:rPr>
        <w:t>NATIONAL ASSEMBLY</w:t>
      </w:r>
    </w:p>
    <w:p w:rsidR="0047127F" w:rsidRPr="00063E28" w:rsidRDefault="0047127F" w:rsidP="007503AC">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QUESTION FO</w:t>
      </w:r>
      <w:bookmarkStart w:id="0" w:name="_GoBack"/>
      <w:bookmarkEnd w:id="0"/>
      <w:r w:rsidRPr="00063E28">
        <w:rPr>
          <w:rFonts w:ascii="Arial" w:hAnsi="Arial" w:cs="Arial"/>
          <w:b/>
          <w:sz w:val="22"/>
          <w:szCs w:val="22"/>
        </w:rPr>
        <w:t>R WRITTEN REPLY</w:t>
      </w:r>
    </w:p>
    <w:p w:rsidR="0047127F" w:rsidRPr="00063E28" w:rsidRDefault="0047127F" w:rsidP="007503AC">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 xml:space="preserve">QUESTION NUMBER: </w:t>
      </w:r>
      <w:r w:rsidR="00674982">
        <w:rPr>
          <w:rFonts w:ascii="Arial" w:hAnsi="Arial" w:cs="Arial"/>
          <w:b/>
          <w:sz w:val="22"/>
          <w:szCs w:val="22"/>
        </w:rPr>
        <w:t>24</w:t>
      </w:r>
      <w:r w:rsidR="00072EBE">
        <w:rPr>
          <w:rFonts w:ascii="Arial" w:hAnsi="Arial" w:cs="Arial"/>
          <w:b/>
          <w:sz w:val="22"/>
          <w:szCs w:val="22"/>
        </w:rPr>
        <w:t>7</w:t>
      </w:r>
      <w:r w:rsidR="00B5649A">
        <w:rPr>
          <w:rFonts w:ascii="Arial" w:hAnsi="Arial" w:cs="Arial"/>
          <w:b/>
          <w:sz w:val="22"/>
          <w:szCs w:val="22"/>
        </w:rPr>
        <w:t>8</w:t>
      </w:r>
      <w:r w:rsidRPr="00063E28">
        <w:rPr>
          <w:rFonts w:ascii="Arial" w:hAnsi="Arial" w:cs="Arial"/>
          <w:b/>
          <w:sz w:val="22"/>
          <w:szCs w:val="22"/>
        </w:rPr>
        <w:t xml:space="preserve"> [</w:t>
      </w:r>
      <w:r w:rsidRPr="009951EA">
        <w:rPr>
          <w:rFonts w:ascii="Arial" w:hAnsi="Arial" w:cs="Arial"/>
          <w:b/>
          <w:sz w:val="22"/>
          <w:szCs w:val="22"/>
          <w:lang w:val="en-ZA"/>
        </w:rPr>
        <w:t>NW</w:t>
      </w:r>
      <w:r w:rsidR="00674982">
        <w:rPr>
          <w:rFonts w:ascii="Arial" w:hAnsi="Arial" w:cs="Arial"/>
          <w:b/>
          <w:sz w:val="22"/>
          <w:szCs w:val="22"/>
          <w:lang w:val="en-ZA"/>
        </w:rPr>
        <w:t>2</w:t>
      </w:r>
      <w:r w:rsidR="00B5649A">
        <w:rPr>
          <w:rFonts w:ascii="Arial" w:hAnsi="Arial" w:cs="Arial"/>
          <w:b/>
          <w:sz w:val="22"/>
          <w:szCs w:val="22"/>
          <w:lang w:val="en-ZA"/>
        </w:rPr>
        <w:t>735</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7503AC">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 xml:space="preserve">DATE OF PUBLICATION: </w:t>
      </w:r>
      <w:r>
        <w:rPr>
          <w:rFonts w:ascii="Arial" w:hAnsi="Arial" w:cs="Arial"/>
          <w:b/>
          <w:sz w:val="22"/>
          <w:szCs w:val="22"/>
        </w:rPr>
        <w:t>24 AUGUST</w:t>
      </w:r>
      <w:r w:rsidRPr="00063E28">
        <w:rPr>
          <w:rFonts w:ascii="Arial" w:hAnsi="Arial" w:cs="Arial"/>
          <w:b/>
          <w:sz w:val="22"/>
          <w:szCs w:val="22"/>
        </w:rPr>
        <w:t xml:space="preserve"> 2018</w:t>
      </w:r>
    </w:p>
    <w:p w:rsidR="0062770E" w:rsidRPr="007503AC" w:rsidRDefault="0062770E" w:rsidP="00635B67">
      <w:pPr>
        <w:pStyle w:val="BodyTextIndent"/>
        <w:spacing w:line="240" w:lineRule="auto"/>
        <w:ind w:left="0" w:firstLine="0"/>
        <w:rPr>
          <w:rFonts w:ascii="Arial" w:hAnsi="Arial" w:cs="Arial"/>
          <w:b/>
          <w:sz w:val="22"/>
          <w:szCs w:val="22"/>
        </w:rPr>
      </w:pPr>
    </w:p>
    <w:p w:rsidR="00B5649A" w:rsidRDefault="00B5649A" w:rsidP="00635B67">
      <w:pPr>
        <w:ind w:left="720" w:hanging="720"/>
        <w:jc w:val="both"/>
        <w:outlineLvl w:val="0"/>
        <w:rPr>
          <w:rFonts w:ascii="Arial" w:eastAsia="Calibri" w:hAnsi="Arial" w:cs="Arial"/>
          <w:b/>
          <w:sz w:val="22"/>
          <w:szCs w:val="22"/>
          <w:lang w:val="af-ZA"/>
        </w:rPr>
      </w:pPr>
      <w:r w:rsidRPr="007503AC">
        <w:rPr>
          <w:rFonts w:ascii="Arial" w:eastAsia="Calibri" w:hAnsi="Arial" w:cs="Arial"/>
          <w:b/>
          <w:sz w:val="22"/>
          <w:szCs w:val="22"/>
          <w:lang w:val="af-ZA"/>
        </w:rPr>
        <w:t>2478.</w:t>
      </w:r>
      <w:r w:rsidRPr="007503AC">
        <w:rPr>
          <w:rFonts w:ascii="Arial" w:eastAsia="Calibri" w:hAnsi="Arial" w:cs="Arial"/>
          <w:b/>
          <w:sz w:val="22"/>
          <w:szCs w:val="22"/>
          <w:lang w:val="af-ZA"/>
        </w:rPr>
        <w:tab/>
        <w:t xml:space="preserve">Mr N F Shivambu (EFF) to ask the Minister of Finance: </w:t>
      </w:r>
    </w:p>
    <w:p w:rsidR="00635B67" w:rsidRPr="007503AC" w:rsidRDefault="00635B67" w:rsidP="00635B67">
      <w:pPr>
        <w:ind w:left="720" w:hanging="720"/>
        <w:jc w:val="both"/>
        <w:outlineLvl w:val="0"/>
        <w:rPr>
          <w:rFonts w:ascii="Arial" w:eastAsia="Calibri" w:hAnsi="Arial" w:cs="Arial"/>
          <w:b/>
          <w:sz w:val="22"/>
          <w:szCs w:val="22"/>
          <w:lang w:val="af-ZA"/>
        </w:rPr>
      </w:pPr>
    </w:p>
    <w:p w:rsidR="00B5649A" w:rsidRPr="00605C7D" w:rsidRDefault="00B5649A" w:rsidP="00605C7D">
      <w:pPr>
        <w:pStyle w:val="ListParagraph"/>
        <w:numPr>
          <w:ilvl w:val="0"/>
          <w:numId w:val="14"/>
        </w:numPr>
        <w:jc w:val="both"/>
        <w:rPr>
          <w:rFonts w:ascii="Arial" w:eastAsia="Calibri" w:hAnsi="Arial" w:cs="Arial"/>
          <w:sz w:val="22"/>
          <w:szCs w:val="22"/>
          <w:lang w:val="af-ZA"/>
        </w:rPr>
      </w:pPr>
      <w:r w:rsidRPr="00605C7D">
        <w:rPr>
          <w:rFonts w:ascii="Arial" w:eastAsia="Calibri" w:hAnsi="Arial" w:cs="Arial"/>
          <w:sz w:val="22"/>
          <w:szCs w:val="22"/>
          <w:lang w:val="af-ZA"/>
        </w:rPr>
        <w:t>What process did the SA Reserve Bank follow in order to move clients from VBS Mutual Bank to Nedbank;</w:t>
      </w:r>
    </w:p>
    <w:p w:rsidR="00605C7D" w:rsidRPr="00605C7D" w:rsidRDefault="00605C7D" w:rsidP="00605C7D">
      <w:pPr>
        <w:pStyle w:val="ListParagraph"/>
        <w:ind w:left="1080"/>
        <w:jc w:val="both"/>
        <w:rPr>
          <w:rFonts w:ascii="Arial" w:eastAsia="Calibri" w:hAnsi="Arial" w:cs="Arial"/>
          <w:sz w:val="22"/>
          <w:szCs w:val="22"/>
          <w:lang w:val="af-ZA"/>
        </w:rPr>
      </w:pPr>
    </w:p>
    <w:p w:rsidR="00B5649A" w:rsidRPr="00605C7D" w:rsidRDefault="00B5649A" w:rsidP="00605C7D">
      <w:pPr>
        <w:pStyle w:val="ListParagraph"/>
        <w:numPr>
          <w:ilvl w:val="0"/>
          <w:numId w:val="14"/>
        </w:numPr>
        <w:jc w:val="both"/>
        <w:rPr>
          <w:rFonts w:ascii="Arial" w:eastAsia="Calibri" w:hAnsi="Arial" w:cs="Arial"/>
          <w:sz w:val="22"/>
          <w:szCs w:val="22"/>
          <w:lang w:val="af-ZA"/>
        </w:rPr>
      </w:pPr>
      <w:r w:rsidRPr="00605C7D">
        <w:rPr>
          <w:rFonts w:ascii="Arial" w:eastAsia="Calibri" w:hAnsi="Arial" w:cs="Arial"/>
          <w:sz w:val="22"/>
          <w:szCs w:val="22"/>
          <w:lang w:val="af-ZA"/>
        </w:rPr>
        <w:t>was a tender to move the clients advertised; if not, what factors were considered for the selection of Nedbank; if so, what are the relevant details;</w:t>
      </w:r>
    </w:p>
    <w:p w:rsidR="00605C7D" w:rsidRPr="00605C7D" w:rsidRDefault="00605C7D" w:rsidP="00605C7D">
      <w:pPr>
        <w:pStyle w:val="ListParagraph"/>
        <w:ind w:left="1080"/>
        <w:jc w:val="both"/>
        <w:rPr>
          <w:rFonts w:ascii="Arial" w:eastAsia="Calibri" w:hAnsi="Arial" w:cs="Arial"/>
          <w:sz w:val="22"/>
          <w:szCs w:val="22"/>
          <w:lang w:val="af-ZA"/>
        </w:rPr>
      </w:pPr>
    </w:p>
    <w:p w:rsidR="00605C7D" w:rsidRPr="00605C7D" w:rsidRDefault="00B5649A" w:rsidP="00605C7D">
      <w:pPr>
        <w:pStyle w:val="ListParagraph"/>
        <w:numPr>
          <w:ilvl w:val="0"/>
          <w:numId w:val="14"/>
        </w:numPr>
        <w:jc w:val="both"/>
        <w:rPr>
          <w:rFonts w:ascii="Arial" w:eastAsia="Calibri" w:hAnsi="Arial" w:cs="Arial"/>
          <w:sz w:val="22"/>
          <w:szCs w:val="22"/>
          <w:lang w:val="af-ZA"/>
        </w:rPr>
      </w:pPr>
      <w:r w:rsidRPr="00605C7D">
        <w:rPr>
          <w:rFonts w:ascii="Arial" w:eastAsia="Calibri" w:hAnsi="Arial" w:cs="Arial"/>
          <w:sz w:val="22"/>
          <w:szCs w:val="22"/>
          <w:lang w:val="af-ZA"/>
        </w:rPr>
        <w:t>whether the SA Reserve Bank or the curator negotiated any discounts for withdrawal charges; if not, what are the clients currently paying for withdrawal charges compared to what they were paying at the VBS Mutual Bank?</w:t>
      </w:r>
    </w:p>
    <w:p w:rsidR="00635B67" w:rsidRPr="00605C7D" w:rsidRDefault="00B5649A" w:rsidP="00605C7D">
      <w:pPr>
        <w:pStyle w:val="ListParagraph"/>
        <w:ind w:left="1080"/>
        <w:jc w:val="both"/>
        <w:rPr>
          <w:rFonts w:ascii="Arial" w:hAnsi="Arial" w:cs="Arial"/>
          <w:sz w:val="22"/>
          <w:szCs w:val="22"/>
        </w:rPr>
      </w:pP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r w:rsidRPr="00605C7D">
        <w:rPr>
          <w:rFonts w:ascii="Arial" w:hAnsi="Arial" w:cs="Arial"/>
          <w:sz w:val="22"/>
          <w:szCs w:val="22"/>
        </w:rPr>
        <w:tab/>
      </w:r>
    </w:p>
    <w:p w:rsidR="00B5649A" w:rsidRPr="007503AC" w:rsidRDefault="00B5649A" w:rsidP="00635B67">
      <w:pPr>
        <w:ind w:left="720" w:hanging="720"/>
        <w:jc w:val="right"/>
        <w:rPr>
          <w:rFonts w:ascii="Arial" w:hAnsi="Arial" w:cs="Arial"/>
          <w:sz w:val="22"/>
          <w:szCs w:val="22"/>
        </w:rPr>
      </w:pPr>
      <w:r w:rsidRPr="007503AC">
        <w:rPr>
          <w:rFonts w:ascii="Arial" w:hAnsi="Arial" w:cs="Arial"/>
          <w:sz w:val="22"/>
          <w:szCs w:val="22"/>
        </w:rPr>
        <w:t>NW2735E</w:t>
      </w:r>
    </w:p>
    <w:p w:rsidR="00635B67" w:rsidRDefault="00635B67" w:rsidP="00635B67">
      <w:pPr>
        <w:jc w:val="both"/>
        <w:outlineLvl w:val="0"/>
        <w:rPr>
          <w:rFonts w:ascii="Arial" w:hAnsi="Arial" w:cs="Arial"/>
          <w:b/>
          <w:sz w:val="22"/>
          <w:szCs w:val="22"/>
        </w:rPr>
      </w:pPr>
    </w:p>
    <w:p w:rsidR="00635B67" w:rsidRDefault="00635B67" w:rsidP="00635B67">
      <w:pPr>
        <w:jc w:val="both"/>
        <w:outlineLvl w:val="0"/>
        <w:rPr>
          <w:rFonts w:ascii="Arial" w:hAnsi="Arial" w:cs="Arial"/>
          <w:b/>
          <w:sz w:val="22"/>
          <w:szCs w:val="22"/>
        </w:rPr>
      </w:pPr>
    </w:p>
    <w:p w:rsidR="00635B67" w:rsidRDefault="00635B67" w:rsidP="00635B67">
      <w:pPr>
        <w:jc w:val="both"/>
        <w:outlineLvl w:val="0"/>
        <w:rPr>
          <w:rFonts w:ascii="Arial" w:hAnsi="Arial" w:cs="Arial"/>
          <w:b/>
          <w:sz w:val="22"/>
          <w:szCs w:val="22"/>
        </w:rPr>
      </w:pPr>
    </w:p>
    <w:p w:rsidR="001433AE" w:rsidRDefault="001433AE" w:rsidP="00635B67">
      <w:pPr>
        <w:jc w:val="both"/>
        <w:outlineLvl w:val="0"/>
        <w:rPr>
          <w:rFonts w:ascii="Arial" w:hAnsi="Arial" w:cs="Arial"/>
          <w:sz w:val="22"/>
          <w:szCs w:val="22"/>
        </w:rPr>
      </w:pPr>
      <w:r w:rsidRPr="007503AC">
        <w:rPr>
          <w:rFonts w:ascii="Arial" w:hAnsi="Arial" w:cs="Arial"/>
          <w:b/>
          <w:sz w:val="22"/>
          <w:szCs w:val="22"/>
        </w:rPr>
        <w:t>REPLY</w:t>
      </w:r>
      <w:r w:rsidRPr="007503AC">
        <w:rPr>
          <w:rFonts w:ascii="Arial" w:hAnsi="Arial" w:cs="Arial"/>
          <w:sz w:val="22"/>
          <w:szCs w:val="22"/>
        </w:rPr>
        <w:t>:</w:t>
      </w:r>
    </w:p>
    <w:p w:rsidR="00635B67" w:rsidRPr="007503AC" w:rsidRDefault="00635B67" w:rsidP="00635B67">
      <w:pPr>
        <w:jc w:val="both"/>
        <w:outlineLvl w:val="0"/>
        <w:rPr>
          <w:rFonts w:ascii="Arial" w:hAnsi="Arial" w:cs="Arial"/>
          <w:sz w:val="22"/>
          <w:szCs w:val="22"/>
        </w:rPr>
      </w:pPr>
    </w:p>
    <w:p w:rsidR="00591A66" w:rsidRPr="007503AC" w:rsidRDefault="00591A66" w:rsidP="00635B67">
      <w:pPr>
        <w:tabs>
          <w:tab w:val="left" w:pos="432"/>
          <w:tab w:val="left" w:pos="864"/>
        </w:tabs>
        <w:jc w:val="both"/>
        <w:rPr>
          <w:rFonts w:ascii="Arial" w:hAnsi="Arial" w:cs="Arial"/>
          <w:sz w:val="22"/>
          <w:szCs w:val="22"/>
        </w:rPr>
      </w:pPr>
      <w:r w:rsidRPr="007503AC">
        <w:rPr>
          <w:rFonts w:ascii="Arial" w:hAnsi="Arial" w:cs="Arial"/>
          <w:sz w:val="22"/>
          <w:szCs w:val="22"/>
        </w:rPr>
        <w:t>No powers vest in the Minister of Finance in relation to operational elements of curatorship, including the movement assets and liabilities of VBS.</w:t>
      </w:r>
      <w:r w:rsidR="00635B67">
        <w:rPr>
          <w:rFonts w:ascii="Arial" w:hAnsi="Arial" w:cs="Arial"/>
          <w:sz w:val="22"/>
          <w:szCs w:val="22"/>
        </w:rPr>
        <w:t xml:space="preserve">  </w:t>
      </w:r>
      <w:r w:rsidRPr="007503AC">
        <w:rPr>
          <w:rFonts w:ascii="Arial" w:hAnsi="Arial" w:cs="Arial"/>
          <w:sz w:val="22"/>
          <w:szCs w:val="22"/>
        </w:rPr>
        <w:t xml:space="preserve">These powers are conferred onto the curator in </w:t>
      </w:r>
      <w:r w:rsidR="00635B67" w:rsidRPr="007503AC">
        <w:rPr>
          <w:rFonts w:ascii="Arial" w:hAnsi="Arial" w:cs="Arial"/>
          <w:sz w:val="22"/>
          <w:szCs w:val="22"/>
        </w:rPr>
        <w:t>terms</w:t>
      </w:r>
      <w:r w:rsidRPr="007503AC">
        <w:rPr>
          <w:rFonts w:ascii="Arial" w:hAnsi="Arial" w:cs="Arial"/>
          <w:sz w:val="22"/>
          <w:szCs w:val="22"/>
        </w:rPr>
        <w:t xml:space="preserve"> of section 54 of the Banks Act (1990).   </w:t>
      </w:r>
    </w:p>
    <w:p w:rsidR="00A11CD8" w:rsidRPr="007503AC" w:rsidRDefault="00A11CD8" w:rsidP="00635B67">
      <w:pPr>
        <w:tabs>
          <w:tab w:val="left" w:pos="432"/>
          <w:tab w:val="left" w:pos="864"/>
        </w:tabs>
        <w:jc w:val="both"/>
        <w:rPr>
          <w:rFonts w:ascii="Arial" w:hAnsi="Arial" w:cs="Arial"/>
          <w:sz w:val="22"/>
          <w:szCs w:val="22"/>
        </w:rPr>
      </w:pPr>
    </w:p>
    <w:p w:rsidR="007549B6" w:rsidRPr="007503AC" w:rsidRDefault="00591A66" w:rsidP="00635B67">
      <w:pPr>
        <w:tabs>
          <w:tab w:val="left" w:pos="432"/>
          <w:tab w:val="left" w:pos="864"/>
        </w:tabs>
        <w:ind w:left="720" w:hanging="720"/>
        <w:jc w:val="both"/>
        <w:rPr>
          <w:rFonts w:ascii="Arial" w:hAnsi="Arial" w:cs="Arial"/>
          <w:sz w:val="22"/>
          <w:szCs w:val="22"/>
        </w:rPr>
      </w:pPr>
      <w:r w:rsidRPr="007503AC">
        <w:rPr>
          <w:rFonts w:ascii="Arial" w:eastAsia="Calibri" w:hAnsi="Arial" w:cs="Arial"/>
          <w:sz w:val="22"/>
          <w:szCs w:val="22"/>
          <w:lang w:val="af-ZA"/>
        </w:rPr>
        <w:t>(1</w:t>
      </w:r>
      <w:r w:rsidRPr="007503AC">
        <w:rPr>
          <w:rFonts w:ascii="Arial" w:hAnsi="Arial" w:cs="Arial"/>
          <w:sz w:val="22"/>
          <w:szCs w:val="22"/>
        </w:rPr>
        <w:t xml:space="preserve">)  </w:t>
      </w:r>
      <w:r w:rsidRPr="007503AC">
        <w:rPr>
          <w:rFonts w:ascii="Arial" w:hAnsi="Arial" w:cs="Arial"/>
          <w:sz w:val="22"/>
          <w:szCs w:val="22"/>
        </w:rPr>
        <w:tab/>
      </w:r>
      <w:r w:rsidRPr="007503AC">
        <w:rPr>
          <w:rFonts w:ascii="Arial" w:hAnsi="Arial" w:cs="Arial"/>
          <w:sz w:val="22"/>
          <w:szCs w:val="22"/>
        </w:rPr>
        <w:tab/>
      </w:r>
      <w:r w:rsidR="00FF5BF8" w:rsidRPr="007503AC">
        <w:rPr>
          <w:rFonts w:ascii="Arial" w:hAnsi="Arial" w:cs="Arial"/>
          <w:sz w:val="22"/>
          <w:szCs w:val="22"/>
        </w:rPr>
        <w:t xml:space="preserve">On the 21 August 30, 2018 the South African Reserve Bank (SARB) wrote to the Chair of </w:t>
      </w:r>
      <w:r w:rsidRPr="007503AC">
        <w:rPr>
          <w:rFonts w:ascii="Arial" w:hAnsi="Arial" w:cs="Arial"/>
          <w:sz w:val="22"/>
          <w:szCs w:val="22"/>
        </w:rPr>
        <w:t xml:space="preserve">  </w:t>
      </w:r>
      <w:r w:rsidR="00FF5BF8" w:rsidRPr="007503AC">
        <w:rPr>
          <w:rFonts w:ascii="Arial" w:hAnsi="Arial" w:cs="Arial"/>
          <w:sz w:val="22"/>
          <w:szCs w:val="22"/>
        </w:rPr>
        <w:t>the Standing Committee on Finance</w:t>
      </w:r>
      <w:r w:rsidR="00635B67">
        <w:rPr>
          <w:rFonts w:ascii="Arial" w:hAnsi="Arial" w:cs="Arial"/>
          <w:sz w:val="22"/>
          <w:szCs w:val="22"/>
        </w:rPr>
        <w:t xml:space="preserve"> (SCOF)</w:t>
      </w:r>
      <w:r w:rsidR="00882018" w:rsidRPr="007503AC">
        <w:rPr>
          <w:rFonts w:ascii="Arial" w:hAnsi="Arial" w:cs="Arial"/>
          <w:sz w:val="22"/>
          <w:szCs w:val="22"/>
        </w:rPr>
        <w:t xml:space="preserve"> advising him of the manner, basis and modalities of the transfer </w:t>
      </w:r>
      <w:r w:rsidR="00DA53B6" w:rsidRPr="007503AC">
        <w:rPr>
          <w:rFonts w:ascii="Arial" w:hAnsi="Arial" w:cs="Arial"/>
          <w:sz w:val="22"/>
          <w:szCs w:val="22"/>
        </w:rPr>
        <w:t>o</w:t>
      </w:r>
      <w:r w:rsidR="00882018" w:rsidRPr="007503AC">
        <w:rPr>
          <w:rFonts w:ascii="Arial" w:hAnsi="Arial" w:cs="Arial"/>
          <w:sz w:val="22"/>
          <w:szCs w:val="22"/>
        </w:rPr>
        <w:t xml:space="preserve">f depositors from the </w:t>
      </w:r>
      <w:r w:rsidR="00DA53B6" w:rsidRPr="007503AC">
        <w:rPr>
          <w:rFonts w:ascii="Arial" w:hAnsi="Arial" w:cs="Arial"/>
          <w:sz w:val="22"/>
          <w:szCs w:val="22"/>
        </w:rPr>
        <w:t xml:space="preserve">now </w:t>
      </w:r>
      <w:r w:rsidR="00882018" w:rsidRPr="007503AC">
        <w:rPr>
          <w:rFonts w:ascii="Arial" w:hAnsi="Arial" w:cs="Arial"/>
          <w:sz w:val="22"/>
          <w:szCs w:val="22"/>
        </w:rPr>
        <w:t>defunct VBS to a facilitator bank (Nedbank) to allow for the access of retail</w:t>
      </w:r>
      <w:r w:rsidR="007549B6" w:rsidRPr="007503AC">
        <w:rPr>
          <w:rFonts w:ascii="Arial" w:hAnsi="Arial" w:cs="Arial"/>
          <w:sz w:val="22"/>
          <w:szCs w:val="22"/>
        </w:rPr>
        <w:t xml:space="preserve"> deposits.</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DA53B6"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The purpose of this response</w:t>
      </w:r>
      <w:r w:rsidR="00882018" w:rsidRPr="007503AC">
        <w:rPr>
          <w:rFonts w:ascii="Arial" w:hAnsi="Arial" w:cs="Arial"/>
          <w:sz w:val="22"/>
          <w:szCs w:val="22"/>
        </w:rPr>
        <w:t xml:space="preserve"> is to provide the SCOF with more granular detail pertaining </w:t>
      </w:r>
      <w:r w:rsidR="00591A66" w:rsidRPr="007503AC">
        <w:rPr>
          <w:rFonts w:ascii="Arial" w:hAnsi="Arial" w:cs="Arial"/>
          <w:sz w:val="22"/>
          <w:szCs w:val="22"/>
        </w:rPr>
        <w:t xml:space="preserve"> </w:t>
      </w:r>
      <w:r w:rsidR="00882018" w:rsidRPr="007503AC">
        <w:rPr>
          <w:rFonts w:ascii="Arial" w:hAnsi="Arial" w:cs="Arial"/>
          <w:sz w:val="22"/>
          <w:szCs w:val="22"/>
        </w:rPr>
        <w:t>to the criteria applied in the selection process as well as relevant extracts from the curator’s report titled ‘Resolution Plan: Liquidity for Retail Depositors’ dated 31 May 2018.</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DA53B6"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Following the recommendation of the Registrar of Banks’</w:t>
      </w:r>
      <w:r w:rsidR="00882018" w:rsidRPr="007503AC">
        <w:rPr>
          <w:rFonts w:ascii="Arial" w:hAnsi="Arial" w:cs="Arial"/>
          <w:sz w:val="22"/>
          <w:szCs w:val="22"/>
        </w:rPr>
        <w:t>, the Minister of Finance placed VBS under curatorship, in terms of section 69 of the Banks Act 94 of 1990 read with section 81 of the Mutual Banks Act 124 of 1993, on 11 March 2018.</w:t>
      </w:r>
      <w:r w:rsidR="00635B67">
        <w:rPr>
          <w:rFonts w:ascii="Arial" w:hAnsi="Arial" w:cs="Arial"/>
          <w:sz w:val="22"/>
          <w:szCs w:val="22"/>
        </w:rPr>
        <w:t xml:space="preserve">  </w:t>
      </w:r>
      <w:r w:rsidR="00882018" w:rsidRPr="007503AC">
        <w:rPr>
          <w:rFonts w:ascii="Arial" w:hAnsi="Arial" w:cs="Arial"/>
          <w:sz w:val="22"/>
          <w:szCs w:val="22"/>
        </w:rPr>
        <w:t xml:space="preserve">The curator’s subsequent assessment of VBS’s financial position revealed that the bank is not in a position to fully repay its depositors. </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The SARB agreed, after consultation with the Minister of Finance, to fund the repayment of certain deposits due by VBS, namely those of its retail depositors up to R100 000 per retail depositor.</w:t>
      </w:r>
      <w:r w:rsidR="00635B67">
        <w:rPr>
          <w:rFonts w:ascii="Arial" w:hAnsi="Arial" w:cs="Arial"/>
          <w:sz w:val="22"/>
          <w:szCs w:val="22"/>
        </w:rPr>
        <w:t xml:space="preserve">  </w:t>
      </w:r>
      <w:r w:rsidRPr="007503AC">
        <w:rPr>
          <w:rFonts w:ascii="Arial" w:hAnsi="Arial" w:cs="Arial"/>
          <w:sz w:val="22"/>
          <w:szCs w:val="22"/>
        </w:rPr>
        <w:t>This amount is in line with the amount that will be covered under the envisaged explicit deposit insurance scheme which National Treasury intends to introduce into the legislative process.</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 xml:space="preserve">In agreeing to fund the repayment of these retail depositors, the purpose of the SARB and National Treasury was to alleviate hardship and prevent losses to the most vulnerable of VBS’s depositors, being the ordinary retail depositors. </w:t>
      </w:r>
      <w:r w:rsidR="00635B67">
        <w:rPr>
          <w:rFonts w:ascii="Arial" w:hAnsi="Arial" w:cs="Arial"/>
          <w:sz w:val="22"/>
          <w:szCs w:val="22"/>
        </w:rPr>
        <w:t xml:space="preserve"> </w:t>
      </w:r>
      <w:r w:rsidRPr="007503AC">
        <w:rPr>
          <w:rFonts w:ascii="Arial" w:hAnsi="Arial" w:cs="Arial"/>
          <w:sz w:val="22"/>
          <w:szCs w:val="22"/>
        </w:rPr>
        <w:t>These depositors, in the main, comprise</w:t>
      </w:r>
      <w:r w:rsidR="00635B67">
        <w:rPr>
          <w:rFonts w:ascii="Arial" w:hAnsi="Arial" w:cs="Arial"/>
          <w:sz w:val="22"/>
          <w:szCs w:val="22"/>
        </w:rPr>
        <w:t xml:space="preserve"> of</w:t>
      </w:r>
      <w:r w:rsidRPr="007503AC">
        <w:rPr>
          <w:rFonts w:ascii="Arial" w:hAnsi="Arial" w:cs="Arial"/>
          <w:sz w:val="22"/>
          <w:szCs w:val="22"/>
        </w:rPr>
        <w:t xml:space="preserve"> individuals, stokvels and burial societies.</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The above-mentioned repayment scheme that the SARB has embarked on in no manner affects the legal dispensation pertaining to the assets and liabilities of VBS; these remain materially unchanged and part of VBS.</w:t>
      </w:r>
      <w:r w:rsidR="00635B67">
        <w:rPr>
          <w:rFonts w:ascii="Arial" w:hAnsi="Arial" w:cs="Arial"/>
          <w:sz w:val="22"/>
          <w:szCs w:val="22"/>
        </w:rPr>
        <w:t xml:space="preserve">  </w:t>
      </w:r>
      <w:r w:rsidRPr="007503AC">
        <w:rPr>
          <w:rFonts w:ascii="Arial" w:hAnsi="Arial" w:cs="Arial"/>
          <w:sz w:val="22"/>
          <w:szCs w:val="22"/>
        </w:rPr>
        <w:t>The SARB paid the amounts owing to the retail depositor</w:t>
      </w:r>
      <w:r w:rsidR="000F281D" w:rsidRPr="007503AC">
        <w:rPr>
          <w:rFonts w:ascii="Arial" w:hAnsi="Arial" w:cs="Arial"/>
          <w:sz w:val="22"/>
          <w:szCs w:val="22"/>
        </w:rPr>
        <w:t xml:space="preserve">s on a purely ex gratia basis. </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As the agreed arrangement was designed to assist only the retail depositors (up to the agreed level), it was critical that this process was done in such a way that neither VBS nor any of its creditors and</w:t>
      </w:r>
      <w:r w:rsidR="00635B67">
        <w:rPr>
          <w:rFonts w:ascii="Arial" w:hAnsi="Arial" w:cs="Arial"/>
          <w:sz w:val="22"/>
          <w:szCs w:val="22"/>
        </w:rPr>
        <w:t xml:space="preserve"> </w:t>
      </w:r>
      <w:r w:rsidRPr="007503AC">
        <w:rPr>
          <w:rFonts w:ascii="Arial" w:hAnsi="Arial" w:cs="Arial"/>
          <w:sz w:val="22"/>
          <w:szCs w:val="22"/>
        </w:rPr>
        <w:t>/</w:t>
      </w:r>
      <w:r w:rsidR="00635B67">
        <w:rPr>
          <w:rFonts w:ascii="Arial" w:hAnsi="Arial" w:cs="Arial"/>
          <w:sz w:val="22"/>
          <w:szCs w:val="22"/>
        </w:rPr>
        <w:t xml:space="preserve"> </w:t>
      </w:r>
      <w:r w:rsidRPr="007503AC">
        <w:rPr>
          <w:rFonts w:ascii="Arial" w:hAnsi="Arial" w:cs="Arial"/>
          <w:sz w:val="22"/>
          <w:szCs w:val="22"/>
        </w:rPr>
        <w:t>or shareholders acquired any legal right or claim to the amount made available – otherwise the other creditors and</w:t>
      </w:r>
      <w:r w:rsidR="00635B67">
        <w:rPr>
          <w:rFonts w:ascii="Arial" w:hAnsi="Arial" w:cs="Arial"/>
          <w:sz w:val="22"/>
          <w:szCs w:val="22"/>
        </w:rPr>
        <w:t xml:space="preserve"> </w:t>
      </w:r>
      <w:r w:rsidRPr="007503AC">
        <w:rPr>
          <w:rFonts w:ascii="Arial" w:hAnsi="Arial" w:cs="Arial"/>
          <w:sz w:val="22"/>
          <w:szCs w:val="22"/>
        </w:rPr>
        <w:t>/</w:t>
      </w:r>
      <w:r w:rsidR="00635B67">
        <w:rPr>
          <w:rFonts w:ascii="Arial" w:hAnsi="Arial" w:cs="Arial"/>
          <w:sz w:val="22"/>
          <w:szCs w:val="22"/>
        </w:rPr>
        <w:t xml:space="preserve"> </w:t>
      </w:r>
      <w:r w:rsidRPr="007503AC">
        <w:rPr>
          <w:rFonts w:ascii="Arial" w:hAnsi="Arial" w:cs="Arial"/>
          <w:sz w:val="22"/>
          <w:szCs w:val="22"/>
        </w:rPr>
        <w:t>or shareholders would have been entitled to share proportionately in the amount made available.</w:t>
      </w:r>
      <w:r w:rsidR="00635B67">
        <w:rPr>
          <w:rFonts w:ascii="Arial" w:hAnsi="Arial" w:cs="Arial"/>
          <w:sz w:val="22"/>
          <w:szCs w:val="22"/>
        </w:rPr>
        <w:t xml:space="preserve">  </w:t>
      </w:r>
      <w:r w:rsidRPr="007503AC">
        <w:rPr>
          <w:rFonts w:ascii="Arial" w:hAnsi="Arial" w:cs="Arial"/>
          <w:sz w:val="22"/>
          <w:szCs w:val="22"/>
        </w:rPr>
        <w:t>That would have defeated the objective of protecting the most vulnerable customers of the bank.</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It was for this reason that the SARB utilised the services of another bank, being Nedbank, to effect payment of the amounts due to the VBS retail depositors covered by the guarantee issued by government.</w:t>
      </w:r>
      <w:r w:rsidR="00635B67">
        <w:rPr>
          <w:rFonts w:ascii="Arial" w:hAnsi="Arial" w:cs="Arial"/>
          <w:sz w:val="22"/>
          <w:szCs w:val="22"/>
        </w:rPr>
        <w:t xml:space="preserve">  </w:t>
      </w:r>
      <w:r w:rsidRPr="007503AC">
        <w:rPr>
          <w:rFonts w:ascii="Arial" w:hAnsi="Arial" w:cs="Arial"/>
          <w:sz w:val="22"/>
          <w:szCs w:val="22"/>
        </w:rPr>
        <w:t>This was achieved by the SARB depositing R257 million with Nedbank for the purpose of effecting payments to 17 380 retail depositors of VBS.</w:t>
      </w:r>
      <w:r w:rsidR="00635B67">
        <w:rPr>
          <w:rFonts w:ascii="Arial" w:hAnsi="Arial" w:cs="Arial"/>
          <w:sz w:val="22"/>
          <w:szCs w:val="22"/>
        </w:rPr>
        <w:t xml:space="preserve">  </w:t>
      </w:r>
      <w:r w:rsidRPr="007503AC">
        <w:rPr>
          <w:rFonts w:ascii="Arial" w:hAnsi="Arial" w:cs="Arial"/>
          <w:sz w:val="22"/>
          <w:szCs w:val="22"/>
        </w:rPr>
        <w:t>In return, these retail depositors agreed to cede to the SARB all their rights and title to their claims against VBS, up to the amount they had received from Nedbank acting on behalf of the SARB.</w:t>
      </w:r>
    </w:p>
    <w:p w:rsidR="00882018" w:rsidRPr="007503AC" w:rsidRDefault="00882018" w:rsidP="00635B67">
      <w:pPr>
        <w:tabs>
          <w:tab w:val="left" w:pos="432"/>
          <w:tab w:val="left" w:pos="864"/>
        </w:tabs>
        <w:jc w:val="both"/>
        <w:rPr>
          <w:rFonts w:ascii="Arial" w:hAnsi="Arial" w:cs="Arial"/>
          <w:sz w:val="22"/>
          <w:szCs w:val="22"/>
        </w:rPr>
      </w:pPr>
    </w:p>
    <w:p w:rsidR="00882018" w:rsidRDefault="00882018" w:rsidP="00635B67">
      <w:pPr>
        <w:tabs>
          <w:tab w:val="left" w:pos="432"/>
          <w:tab w:val="left" w:pos="864"/>
        </w:tabs>
        <w:ind w:left="790"/>
        <w:jc w:val="both"/>
        <w:rPr>
          <w:rFonts w:ascii="Arial" w:hAnsi="Arial" w:cs="Arial"/>
          <w:sz w:val="22"/>
          <w:szCs w:val="22"/>
        </w:rPr>
      </w:pPr>
      <w:r w:rsidRPr="007503AC">
        <w:rPr>
          <w:rFonts w:ascii="Arial" w:hAnsi="Arial" w:cs="Arial"/>
          <w:sz w:val="22"/>
          <w:szCs w:val="22"/>
        </w:rPr>
        <w:t xml:space="preserve">The VBS retail depositors have one of the following options; the choice is completely at the discretion of each depositor: </w:t>
      </w:r>
    </w:p>
    <w:p w:rsidR="00635B67" w:rsidRPr="007503AC" w:rsidRDefault="00635B67" w:rsidP="00635B67">
      <w:pPr>
        <w:tabs>
          <w:tab w:val="left" w:pos="432"/>
          <w:tab w:val="left" w:pos="864"/>
        </w:tabs>
        <w:ind w:left="790"/>
        <w:jc w:val="both"/>
        <w:rPr>
          <w:rFonts w:ascii="Arial" w:hAnsi="Arial" w:cs="Arial"/>
          <w:sz w:val="22"/>
          <w:szCs w:val="22"/>
        </w:rPr>
      </w:pPr>
    </w:p>
    <w:p w:rsidR="00635B67" w:rsidRDefault="00882018" w:rsidP="00635B67">
      <w:pPr>
        <w:pStyle w:val="ListParagraph"/>
        <w:numPr>
          <w:ilvl w:val="0"/>
          <w:numId w:val="6"/>
        </w:numPr>
        <w:tabs>
          <w:tab w:val="left" w:pos="432"/>
          <w:tab w:val="left" w:pos="864"/>
        </w:tabs>
        <w:jc w:val="both"/>
        <w:rPr>
          <w:rFonts w:ascii="Arial" w:hAnsi="Arial" w:cs="Arial"/>
          <w:sz w:val="22"/>
          <w:szCs w:val="22"/>
        </w:rPr>
      </w:pPr>
      <w:r w:rsidRPr="00635B67">
        <w:rPr>
          <w:rFonts w:ascii="Arial" w:hAnsi="Arial" w:cs="Arial"/>
          <w:sz w:val="22"/>
          <w:szCs w:val="22"/>
        </w:rPr>
        <w:t>Withdraw all the funds at any ATM or Nedbank branch.</w:t>
      </w:r>
    </w:p>
    <w:p w:rsidR="00882018" w:rsidRPr="00635B67" w:rsidRDefault="00882018" w:rsidP="00635B67">
      <w:pPr>
        <w:pStyle w:val="ListParagraph"/>
        <w:tabs>
          <w:tab w:val="left" w:pos="432"/>
          <w:tab w:val="left" w:pos="864"/>
        </w:tabs>
        <w:ind w:left="1220"/>
        <w:jc w:val="both"/>
        <w:rPr>
          <w:rFonts w:ascii="Arial" w:hAnsi="Arial" w:cs="Arial"/>
          <w:sz w:val="22"/>
          <w:szCs w:val="22"/>
        </w:rPr>
      </w:pPr>
      <w:r w:rsidRPr="00635B67">
        <w:rPr>
          <w:rFonts w:ascii="Arial" w:hAnsi="Arial" w:cs="Arial"/>
          <w:sz w:val="22"/>
          <w:szCs w:val="22"/>
        </w:rPr>
        <w:t xml:space="preserve"> </w:t>
      </w:r>
    </w:p>
    <w:p w:rsidR="00635B67" w:rsidRDefault="00882018" w:rsidP="00635B67">
      <w:pPr>
        <w:pStyle w:val="ListParagraph"/>
        <w:numPr>
          <w:ilvl w:val="0"/>
          <w:numId w:val="6"/>
        </w:numPr>
        <w:tabs>
          <w:tab w:val="left" w:pos="432"/>
          <w:tab w:val="left" w:pos="864"/>
        </w:tabs>
        <w:jc w:val="both"/>
        <w:rPr>
          <w:rFonts w:ascii="Arial" w:hAnsi="Arial" w:cs="Arial"/>
          <w:sz w:val="22"/>
          <w:szCs w:val="22"/>
        </w:rPr>
      </w:pPr>
      <w:r w:rsidRPr="007503AC">
        <w:rPr>
          <w:rFonts w:ascii="Arial" w:hAnsi="Arial" w:cs="Arial"/>
          <w:sz w:val="22"/>
          <w:szCs w:val="22"/>
        </w:rPr>
        <w:t>Transfer all the funds to another bank account with any bank in the Republic of South Africa.</w:t>
      </w:r>
    </w:p>
    <w:p w:rsidR="00635B67" w:rsidRPr="00635B67" w:rsidRDefault="00635B67" w:rsidP="00635B67">
      <w:pPr>
        <w:pStyle w:val="ListParagraph"/>
        <w:rPr>
          <w:rFonts w:ascii="Arial" w:hAnsi="Arial" w:cs="Arial"/>
          <w:sz w:val="22"/>
          <w:szCs w:val="22"/>
        </w:rPr>
      </w:pPr>
    </w:p>
    <w:p w:rsidR="00635B67" w:rsidRDefault="00882018" w:rsidP="00635B67">
      <w:pPr>
        <w:pStyle w:val="ListParagraph"/>
        <w:numPr>
          <w:ilvl w:val="0"/>
          <w:numId w:val="6"/>
        </w:numPr>
        <w:tabs>
          <w:tab w:val="left" w:pos="432"/>
          <w:tab w:val="left" w:pos="864"/>
        </w:tabs>
        <w:jc w:val="both"/>
        <w:rPr>
          <w:rFonts w:ascii="Arial" w:hAnsi="Arial" w:cs="Arial"/>
          <w:sz w:val="22"/>
          <w:szCs w:val="22"/>
        </w:rPr>
      </w:pPr>
      <w:r w:rsidRPr="007503AC">
        <w:rPr>
          <w:rFonts w:ascii="Arial" w:hAnsi="Arial" w:cs="Arial"/>
          <w:sz w:val="22"/>
          <w:szCs w:val="22"/>
        </w:rPr>
        <w:t>Retain the funds in the Nedbank accounts and use the associated debit card to make payments as and when necessary.</w:t>
      </w:r>
    </w:p>
    <w:p w:rsidR="00635B67" w:rsidRPr="00635B67" w:rsidRDefault="00635B67" w:rsidP="00605C7D">
      <w:pPr>
        <w:pStyle w:val="ListParagraph"/>
        <w:jc w:val="both"/>
        <w:rPr>
          <w:rFonts w:ascii="Arial" w:hAnsi="Arial" w:cs="Arial"/>
          <w:sz w:val="22"/>
          <w:szCs w:val="22"/>
        </w:rPr>
      </w:pPr>
    </w:p>
    <w:p w:rsidR="00882018" w:rsidRDefault="00605C7D" w:rsidP="00605C7D">
      <w:pPr>
        <w:tabs>
          <w:tab w:val="left" w:pos="432"/>
          <w:tab w:val="left" w:pos="864"/>
        </w:tabs>
        <w:ind w:left="1220" w:hanging="788"/>
        <w:jc w:val="both"/>
        <w:rPr>
          <w:rFonts w:ascii="Arial" w:hAnsi="Arial" w:cs="Arial"/>
          <w:sz w:val="22"/>
          <w:szCs w:val="22"/>
        </w:rPr>
      </w:pPr>
      <w:r>
        <w:rPr>
          <w:rFonts w:ascii="Arial" w:hAnsi="Arial" w:cs="Arial"/>
          <w:sz w:val="22"/>
          <w:szCs w:val="22"/>
        </w:rPr>
        <w:t>(2) (3)</w:t>
      </w:r>
      <w:r>
        <w:rPr>
          <w:rFonts w:ascii="Arial" w:hAnsi="Arial" w:cs="Arial"/>
          <w:sz w:val="22"/>
          <w:szCs w:val="22"/>
        </w:rPr>
        <w:tab/>
      </w:r>
      <w:r w:rsidR="00882018" w:rsidRPr="007503AC">
        <w:rPr>
          <w:rFonts w:ascii="Arial" w:hAnsi="Arial" w:cs="Arial"/>
          <w:sz w:val="22"/>
          <w:szCs w:val="22"/>
        </w:rPr>
        <w:t>As mentioned at the SCOF meeting on 15 August 2018, at a high level, two major</w:t>
      </w:r>
      <w:r>
        <w:rPr>
          <w:rFonts w:ascii="Arial" w:hAnsi="Arial" w:cs="Arial"/>
          <w:sz w:val="22"/>
          <w:szCs w:val="22"/>
        </w:rPr>
        <w:t xml:space="preserve"> </w:t>
      </w:r>
      <w:r w:rsidR="00882018" w:rsidRPr="007503AC">
        <w:rPr>
          <w:rFonts w:ascii="Arial" w:hAnsi="Arial" w:cs="Arial"/>
          <w:sz w:val="22"/>
          <w:szCs w:val="22"/>
        </w:rPr>
        <w:t>factors were considered when making the decision to use Nedbank to facilitate the</w:t>
      </w:r>
      <w:r>
        <w:rPr>
          <w:rFonts w:ascii="Arial" w:hAnsi="Arial" w:cs="Arial"/>
          <w:sz w:val="22"/>
          <w:szCs w:val="22"/>
        </w:rPr>
        <w:t xml:space="preserve"> </w:t>
      </w:r>
      <w:r w:rsidR="00882018" w:rsidRPr="007503AC">
        <w:rPr>
          <w:rFonts w:ascii="Arial" w:hAnsi="Arial" w:cs="Arial"/>
          <w:sz w:val="22"/>
          <w:szCs w:val="22"/>
        </w:rPr>
        <w:t>repayment of VBS’s guaranteed retail depositors, namely:</w:t>
      </w:r>
    </w:p>
    <w:p w:rsidR="00635B67" w:rsidRPr="007503AC" w:rsidRDefault="00635B67" w:rsidP="00605C7D">
      <w:pPr>
        <w:tabs>
          <w:tab w:val="left" w:pos="432"/>
          <w:tab w:val="left" w:pos="864"/>
        </w:tabs>
        <w:ind w:left="720"/>
        <w:jc w:val="both"/>
        <w:rPr>
          <w:rFonts w:ascii="Arial" w:hAnsi="Arial" w:cs="Arial"/>
          <w:sz w:val="22"/>
          <w:szCs w:val="22"/>
        </w:rPr>
      </w:pPr>
    </w:p>
    <w:p w:rsidR="00882018" w:rsidRPr="007503AC" w:rsidRDefault="00882018" w:rsidP="00605C7D">
      <w:pPr>
        <w:pStyle w:val="ListParagraph"/>
        <w:numPr>
          <w:ilvl w:val="1"/>
          <w:numId w:val="6"/>
        </w:numPr>
        <w:tabs>
          <w:tab w:val="left" w:pos="432"/>
        </w:tabs>
        <w:ind w:left="1701" w:hanging="425"/>
        <w:jc w:val="both"/>
        <w:rPr>
          <w:rFonts w:ascii="Arial" w:hAnsi="Arial" w:cs="Arial"/>
          <w:sz w:val="22"/>
          <w:szCs w:val="22"/>
        </w:rPr>
      </w:pPr>
      <w:r w:rsidRPr="007503AC">
        <w:rPr>
          <w:rFonts w:ascii="Arial" w:hAnsi="Arial" w:cs="Arial"/>
          <w:sz w:val="22"/>
          <w:szCs w:val="22"/>
        </w:rPr>
        <w:t xml:space="preserve">the location of the branches of the institutions which were being considered; and </w:t>
      </w:r>
    </w:p>
    <w:p w:rsidR="00635B67" w:rsidRDefault="00635B67" w:rsidP="00605C7D">
      <w:pPr>
        <w:pStyle w:val="ListParagraph"/>
        <w:tabs>
          <w:tab w:val="left" w:pos="432"/>
          <w:tab w:val="left" w:pos="864"/>
        </w:tabs>
        <w:ind w:left="1220"/>
        <w:jc w:val="both"/>
        <w:rPr>
          <w:rFonts w:ascii="Arial" w:hAnsi="Arial" w:cs="Arial"/>
          <w:sz w:val="22"/>
          <w:szCs w:val="22"/>
        </w:rPr>
      </w:pPr>
    </w:p>
    <w:p w:rsidR="00882018" w:rsidRPr="007503AC" w:rsidRDefault="00882018" w:rsidP="00605C7D">
      <w:pPr>
        <w:pStyle w:val="ListParagraph"/>
        <w:numPr>
          <w:ilvl w:val="1"/>
          <w:numId w:val="6"/>
        </w:numPr>
        <w:tabs>
          <w:tab w:val="left" w:pos="432"/>
        </w:tabs>
        <w:ind w:left="1701" w:hanging="425"/>
        <w:jc w:val="both"/>
        <w:rPr>
          <w:rFonts w:ascii="Arial" w:hAnsi="Arial" w:cs="Arial"/>
          <w:sz w:val="22"/>
          <w:szCs w:val="22"/>
        </w:rPr>
      </w:pPr>
      <w:r w:rsidRPr="007503AC">
        <w:rPr>
          <w:rFonts w:ascii="Arial" w:hAnsi="Arial" w:cs="Arial"/>
          <w:sz w:val="22"/>
          <w:szCs w:val="22"/>
        </w:rPr>
        <w:t xml:space="preserve">the costs, specifically the bank fees, which the VBS retail depositors would incur.  </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ind w:left="720"/>
        <w:jc w:val="both"/>
        <w:rPr>
          <w:rFonts w:ascii="Arial" w:hAnsi="Arial" w:cs="Arial"/>
          <w:sz w:val="22"/>
          <w:szCs w:val="22"/>
        </w:rPr>
      </w:pPr>
      <w:r w:rsidRPr="007503AC">
        <w:rPr>
          <w:rFonts w:ascii="Arial" w:hAnsi="Arial" w:cs="Arial"/>
          <w:sz w:val="22"/>
          <w:szCs w:val="22"/>
        </w:rPr>
        <w:t>The curator recommended to the SARB that the guaranteed depositor funds be urgently made available to the depositors. Given the legal implications associated with VBS, it was not possible to allocate the guaranteed funds to any of the VBS branches.</w:t>
      </w:r>
      <w:r w:rsidR="00635B67">
        <w:rPr>
          <w:rFonts w:ascii="Arial" w:hAnsi="Arial" w:cs="Arial"/>
          <w:sz w:val="22"/>
          <w:szCs w:val="22"/>
        </w:rPr>
        <w:t xml:space="preserve">  </w:t>
      </w:r>
      <w:r w:rsidRPr="007503AC">
        <w:rPr>
          <w:rFonts w:ascii="Arial" w:hAnsi="Arial" w:cs="Arial"/>
          <w:sz w:val="22"/>
          <w:szCs w:val="22"/>
        </w:rPr>
        <w:t xml:space="preserve">The curator therefore undertook an exercise to consider other institutions which could be utilised for the purpose of facilitating the payment of the guaranteed retail deposits. </w:t>
      </w:r>
    </w:p>
    <w:p w:rsidR="00882018" w:rsidRPr="007503AC" w:rsidRDefault="00882018" w:rsidP="00635B67">
      <w:pPr>
        <w:tabs>
          <w:tab w:val="left" w:pos="432"/>
          <w:tab w:val="left" w:pos="864"/>
        </w:tabs>
        <w:jc w:val="both"/>
        <w:rPr>
          <w:rFonts w:ascii="Arial" w:hAnsi="Arial" w:cs="Arial"/>
          <w:sz w:val="22"/>
          <w:szCs w:val="22"/>
        </w:rPr>
      </w:pPr>
    </w:p>
    <w:p w:rsidR="00882018" w:rsidRDefault="00882018" w:rsidP="00635B67">
      <w:pPr>
        <w:tabs>
          <w:tab w:val="left" w:pos="432"/>
          <w:tab w:val="left" w:pos="864"/>
        </w:tabs>
        <w:ind w:left="432"/>
        <w:jc w:val="both"/>
        <w:rPr>
          <w:rFonts w:ascii="Arial" w:hAnsi="Arial" w:cs="Arial"/>
          <w:sz w:val="22"/>
          <w:szCs w:val="22"/>
        </w:rPr>
      </w:pPr>
      <w:r w:rsidRPr="007503AC">
        <w:rPr>
          <w:rFonts w:ascii="Arial" w:hAnsi="Arial" w:cs="Arial"/>
          <w:sz w:val="22"/>
          <w:szCs w:val="22"/>
        </w:rPr>
        <w:t>Various objective factors were considered in the decision-making process. These included the following:</w:t>
      </w:r>
    </w:p>
    <w:p w:rsidR="00605C7D" w:rsidRPr="007503AC" w:rsidRDefault="00605C7D" w:rsidP="00635B67">
      <w:pPr>
        <w:tabs>
          <w:tab w:val="left" w:pos="432"/>
          <w:tab w:val="left" w:pos="864"/>
        </w:tabs>
        <w:ind w:left="432"/>
        <w:jc w:val="both"/>
        <w:rPr>
          <w:rFonts w:ascii="Arial" w:hAnsi="Arial" w:cs="Arial"/>
          <w:sz w:val="22"/>
          <w:szCs w:val="22"/>
        </w:rPr>
      </w:pPr>
    </w:p>
    <w:p w:rsidR="00605C7D" w:rsidRDefault="00882018" w:rsidP="00605C7D">
      <w:pPr>
        <w:tabs>
          <w:tab w:val="left" w:pos="432"/>
          <w:tab w:val="left" w:pos="864"/>
        </w:tabs>
        <w:ind w:left="432"/>
        <w:jc w:val="both"/>
        <w:rPr>
          <w:rFonts w:ascii="Arial" w:hAnsi="Arial" w:cs="Arial"/>
          <w:sz w:val="22"/>
          <w:szCs w:val="22"/>
        </w:rPr>
      </w:pPr>
      <w:r w:rsidRPr="007503AC">
        <w:rPr>
          <w:rFonts w:ascii="Arial" w:hAnsi="Arial" w:cs="Arial"/>
          <w:sz w:val="22"/>
          <w:szCs w:val="22"/>
        </w:rPr>
        <w:t>•</w:t>
      </w:r>
      <w:r w:rsidRPr="007503AC">
        <w:rPr>
          <w:rFonts w:ascii="Arial" w:hAnsi="Arial" w:cs="Arial"/>
          <w:sz w:val="22"/>
          <w:szCs w:val="22"/>
        </w:rPr>
        <w:tab/>
        <w:t>proximity of the institution’s branches to VBS branches;</w:t>
      </w:r>
    </w:p>
    <w:p w:rsidR="00605C7D" w:rsidRPr="007503AC" w:rsidRDefault="00605C7D" w:rsidP="00605C7D">
      <w:pPr>
        <w:tabs>
          <w:tab w:val="left" w:pos="432"/>
          <w:tab w:val="left" w:pos="864"/>
        </w:tabs>
        <w:ind w:left="432"/>
        <w:jc w:val="both"/>
        <w:rPr>
          <w:rFonts w:ascii="Arial" w:hAnsi="Arial" w:cs="Arial"/>
          <w:sz w:val="22"/>
          <w:szCs w:val="22"/>
        </w:rPr>
      </w:pPr>
    </w:p>
    <w:p w:rsidR="00882018" w:rsidRPr="007503AC" w:rsidRDefault="00882018" w:rsidP="00605C7D">
      <w:pPr>
        <w:tabs>
          <w:tab w:val="left" w:pos="432"/>
          <w:tab w:val="left" w:pos="864"/>
        </w:tabs>
        <w:ind w:left="432"/>
        <w:jc w:val="both"/>
        <w:rPr>
          <w:rFonts w:ascii="Arial" w:hAnsi="Arial" w:cs="Arial"/>
          <w:sz w:val="22"/>
          <w:szCs w:val="22"/>
        </w:rPr>
      </w:pPr>
      <w:r w:rsidRPr="007503AC">
        <w:rPr>
          <w:rFonts w:ascii="Arial" w:hAnsi="Arial" w:cs="Arial"/>
          <w:sz w:val="22"/>
          <w:szCs w:val="22"/>
        </w:rPr>
        <w:t>•</w:t>
      </w:r>
      <w:r w:rsidRPr="007503AC">
        <w:rPr>
          <w:rFonts w:ascii="Arial" w:hAnsi="Arial" w:cs="Arial"/>
          <w:sz w:val="22"/>
          <w:szCs w:val="22"/>
        </w:rPr>
        <w:tab/>
        <w:t>the lowest service fees on recommended products;</w:t>
      </w:r>
    </w:p>
    <w:p w:rsidR="00605C7D" w:rsidRDefault="00605C7D" w:rsidP="00605C7D">
      <w:pPr>
        <w:tabs>
          <w:tab w:val="left" w:pos="432"/>
          <w:tab w:val="left" w:pos="864"/>
        </w:tabs>
        <w:ind w:left="432"/>
        <w:jc w:val="both"/>
        <w:rPr>
          <w:rFonts w:ascii="Arial" w:hAnsi="Arial" w:cs="Arial"/>
          <w:sz w:val="22"/>
          <w:szCs w:val="22"/>
        </w:rPr>
      </w:pPr>
    </w:p>
    <w:p w:rsidR="00882018" w:rsidRPr="007503AC" w:rsidRDefault="00882018" w:rsidP="00605C7D">
      <w:pPr>
        <w:tabs>
          <w:tab w:val="left" w:pos="432"/>
          <w:tab w:val="left" w:pos="864"/>
        </w:tabs>
        <w:ind w:left="432"/>
        <w:jc w:val="both"/>
        <w:rPr>
          <w:rFonts w:ascii="Arial" w:hAnsi="Arial" w:cs="Arial"/>
          <w:sz w:val="22"/>
          <w:szCs w:val="22"/>
        </w:rPr>
      </w:pPr>
      <w:r w:rsidRPr="007503AC">
        <w:rPr>
          <w:rFonts w:ascii="Arial" w:hAnsi="Arial" w:cs="Arial"/>
          <w:sz w:val="22"/>
          <w:szCs w:val="22"/>
        </w:rPr>
        <w:t>•</w:t>
      </w:r>
      <w:r w:rsidRPr="007503AC">
        <w:rPr>
          <w:rFonts w:ascii="Arial" w:hAnsi="Arial" w:cs="Arial"/>
          <w:sz w:val="22"/>
          <w:szCs w:val="22"/>
        </w:rPr>
        <w:tab/>
        <w:t>similar product offerings to the customers;</w:t>
      </w:r>
    </w:p>
    <w:p w:rsidR="00605C7D" w:rsidRDefault="00605C7D" w:rsidP="00605C7D">
      <w:pPr>
        <w:tabs>
          <w:tab w:val="left" w:pos="432"/>
          <w:tab w:val="left" w:pos="864"/>
        </w:tabs>
        <w:ind w:left="432"/>
        <w:jc w:val="both"/>
        <w:rPr>
          <w:rFonts w:ascii="Arial" w:hAnsi="Arial" w:cs="Arial"/>
          <w:sz w:val="22"/>
          <w:szCs w:val="22"/>
        </w:rPr>
      </w:pPr>
    </w:p>
    <w:p w:rsidR="00882018" w:rsidRPr="007503AC" w:rsidRDefault="00882018" w:rsidP="00605C7D">
      <w:pPr>
        <w:tabs>
          <w:tab w:val="left" w:pos="432"/>
          <w:tab w:val="left" w:pos="864"/>
        </w:tabs>
        <w:ind w:left="432"/>
        <w:jc w:val="both"/>
        <w:rPr>
          <w:rFonts w:ascii="Arial" w:hAnsi="Arial" w:cs="Arial"/>
          <w:sz w:val="22"/>
          <w:szCs w:val="22"/>
        </w:rPr>
      </w:pPr>
      <w:r w:rsidRPr="007503AC">
        <w:rPr>
          <w:rFonts w:ascii="Arial" w:hAnsi="Arial" w:cs="Arial"/>
          <w:sz w:val="22"/>
          <w:szCs w:val="22"/>
        </w:rPr>
        <w:t>•</w:t>
      </w:r>
      <w:r w:rsidRPr="007503AC">
        <w:rPr>
          <w:rFonts w:ascii="Arial" w:hAnsi="Arial" w:cs="Arial"/>
          <w:sz w:val="22"/>
          <w:szCs w:val="22"/>
        </w:rPr>
        <w:tab/>
        <w:t>whether the selected financial institution was a registered bank; and</w:t>
      </w:r>
    </w:p>
    <w:p w:rsidR="00605C7D" w:rsidRDefault="00605C7D" w:rsidP="00605C7D">
      <w:pPr>
        <w:tabs>
          <w:tab w:val="left" w:pos="432"/>
          <w:tab w:val="left" w:pos="864"/>
        </w:tabs>
        <w:ind w:left="432"/>
        <w:jc w:val="both"/>
        <w:rPr>
          <w:rFonts w:ascii="Arial" w:hAnsi="Arial" w:cs="Arial"/>
          <w:sz w:val="22"/>
          <w:szCs w:val="22"/>
        </w:rPr>
      </w:pPr>
    </w:p>
    <w:p w:rsidR="00882018" w:rsidRPr="007503AC" w:rsidRDefault="00882018" w:rsidP="00605C7D">
      <w:pPr>
        <w:tabs>
          <w:tab w:val="left" w:pos="432"/>
          <w:tab w:val="left" w:pos="864"/>
        </w:tabs>
        <w:ind w:left="432"/>
        <w:jc w:val="both"/>
        <w:rPr>
          <w:rFonts w:ascii="Arial" w:hAnsi="Arial" w:cs="Arial"/>
          <w:sz w:val="22"/>
          <w:szCs w:val="22"/>
        </w:rPr>
      </w:pPr>
      <w:r w:rsidRPr="007503AC">
        <w:rPr>
          <w:rFonts w:ascii="Arial" w:hAnsi="Arial" w:cs="Arial"/>
          <w:sz w:val="22"/>
          <w:szCs w:val="22"/>
        </w:rPr>
        <w:t>•</w:t>
      </w:r>
      <w:r w:rsidRPr="007503AC">
        <w:rPr>
          <w:rFonts w:ascii="Arial" w:hAnsi="Arial" w:cs="Arial"/>
          <w:sz w:val="22"/>
          <w:szCs w:val="22"/>
        </w:rPr>
        <w:tab/>
        <w:t>speed of execution.</w:t>
      </w:r>
    </w:p>
    <w:p w:rsidR="00882018" w:rsidRPr="007503AC" w:rsidRDefault="00882018" w:rsidP="00605C7D">
      <w:pPr>
        <w:tabs>
          <w:tab w:val="left" w:pos="432"/>
          <w:tab w:val="left" w:pos="864"/>
        </w:tabs>
        <w:ind w:left="432"/>
        <w:jc w:val="both"/>
        <w:rPr>
          <w:rFonts w:ascii="Arial" w:hAnsi="Arial" w:cs="Arial"/>
          <w:sz w:val="22"/>
          <w:szCs w:val="22"/>
        </w:rPr>
      </w:pPr>
    </w:p>
    <w:p w:rsidR="00882018" w:rsidRPr="007503AC" w:rsidRDefault="00882018" w:rsidP="00635B67">
      <w:pPr>
        <w:tabs>
          <w:tab w:val="left" w:pos="432"/>
          <w:tab w:val="left" w:pos="864"/>
        </w:tabs>
        <w:jc w:val="both"/>
        <w:rPr>
          <w:rFonts w:ascii="Arial" w:hAnsi="Arial" w:cs="Arial"/>
          <w:sz w:val="22"/>
          <w:szCs w:val="22"/>
        </w:rPr>
      </w:pPr>
      <w:r w:rsidRPr="007503AC">
        <w:rPr>
          <w:rFonts w:ascii="Arial" w:hAnsi="Arial" w:cs="Arial"/>
          <w:sz w:val="22"/>
          <w:szCs w:val="22"/>
        </w:rPr>
        <w:t xml:space="preserve">The information considered when deciding on the bank that would be used to facilitate payment to the retail depositors has been extracted from the aforementioned curator’s report, and has been enclosed hereto as Annexure A.  </w:t>
      </w:r>
    </w:p>
    <w:p w:rsidR="00882018" w:rsidRPr="007503AC" w:rsidRDefault="00882018" w:rsidP="00635B67">
      <w:pPr>
        <w:tabs>
          <w:tab w:val="left" w:pos="432"/>
          <w:tab w:val="left" w:pos="864"/>
        </w:tabs>
        <w:jc w:val="both"/>
        <w:rPr>
          <w:rFonts w:ascii="Arial" w:hAnsi="Arial" w:cs="Arial"/>
          <w:sz w:val="22"/>
          <w:szCs w:val="22"/>
        </w:rPr>
      </w:pPr>
      <w:r w:rsidRPr="007503AC">
        <w:rPr>
          <w:rFonts w:ascii="Arial" w:hAnsi="Arial" w:cs="Arial"/>
          <w:sz w:val="22"/>
          <w:szCs w:val="22"/>
        </w:rPr>
        <w:t> </w:t>
      </w:r>
    </w:p>
    <w:p w:rsidR="00882018" w:rsidRPr="007503AC" w:rsidRDefault="00882018" w:rsidP="00635B67">
      <w:pPr>
        <w:tabs>
          <w:tab w:val="left" w:pos="432"/>
          <w:tab w:val="left" w:pos="864"/>
        </w:tabs>
        <w:jc w:val="both"/>
        <w:rPr>
          <w:rFonts w:ascii="Arial" w:hAnsi="Arial" w:cs="Arial"/>
          <w:sz w:val="22"/>
          <w:szCs w:val="22"/>
        </w:rPr>
      </w:pPr>
      <w:r w:rsidRPr="007503AC">
        <w:rPr>
          <w:rFonts w:ascii="Arial" w:hAnsi="Arial" w:cs="Arial"/>
          <w:sz w:val="22"/>
          <w:szCs w:val="22"/>
        </w:rPr>
        <w:t>It is also important to note that the VBS retail depositors covered under the guarantee issued by government are not, in any way, compelled to retain the Nedbank accounts which were used to facilitate the repayment of the guaranteed retail deposits.</w:t>
      </w:r>
      <w:r w:rsidR="00605C7D">
        <w:rPr>
          <w:rFonts w:ascii="Arial" w:hAnsi="Arial" w:cs="Arial"/>
          <w:sz w:val="22"/>
          <w:szCs w:val="22"/>
        </w:rPr>
        <w:t xml:space="preserve">  </w:t>
      </w:r>
      <w:r w:rsidRPr="007503AC">
        <w:rPr>
          <w:rFonts w:ascii="Arial" w:hAnsi="Arial" w:cs="Arial"/>
          <w:sz w:val="22"/>
          <w:szCs w:val="22"/>
        </w:rPr>
        <w:t xml:space="preserve">Nedbank is essentially only a medium through which VBS customers can access their monies with minimum disruption. </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jc w:val="both"/>
        <w:rPr>
          <w:rFonts w:ascii="Arial" w:hAnsi="Arial" w:cs="Arial"/>
          <w:sz w:val="22"/>
          <w:szCs w:val="22"/>
        </w:rPr>
      </w:pPr>
      <w:r w:rsidRPr="007503AC">
        <w:rPr>
          <w:rFonts w:ascii="Arial" w:hAnsi="Arial" w:cs="Arial"/>
          <w:sz w:val="22"/>
          <w:szCs w:val="22"/>
        </w:rPr>
        <w:t xml:space="preserve">Careful consideration was also given to depositor behaviour, costs to the depositors, and the looming crisis of depositors sleeping outside VBS branches. </w:t>
      </w:r>
    </w:p>
    <w:p w:rsidR="00882018" w:rsidRPr="007503AC" w:rsidRDefault="00882018" w:rsidP="00635B67">
      <w:pPr>
        <w:tabs>
          <w:tab w:val="left" w:pos="432"/>
          <w:tab w:val="left" w:pos="864"/>
        </w:tabs>
        <w:jc w:val="both"/>
        <w:rPr>
          <w:rFonts w:ascii="Arial" w:hAnsi="Arial" w:cs="Arial"/>
          <w:sz w:val="22"/>
          <w:szCs w:val="22"/>
        </w:rPr>
      </w:pPr>
    </w:p>
    <w:p w:rsidR="00882018" w:rsidRPr="007503AC" w:rsidRDefault="00882018" w:rsidP="00635B67">
      <w:pPr>
        <w:tabs>
          <w:tab w:val="left" w:pos="432"/>
          <w:tab w:val="left" w:pos="864"/>
        </w:tabs>
        <w:jc w:val="both"/>
        <w:rPr>
          <w:rFonts w:ascii="Arial" w:hAnsi="Arial" w:cs="Arial"/>
          <w:sz w:val="22"/>
          <w:szCs w:val="22"/>
        </w:rPr>
      </w:pPr>
      <w:r w:rsidRPr="007503AC">
        <w:rPr>
          <w:rFonts w:ascii="Arial" w:hAnsi="Arial" w:cs="Arial"/>
          <w:sz w:val="22"/>
          <w:szCs w:val="22"/>
        </w:rPr>
        <w:t xml:space="preserve">The decision to use Nedbank was not in any way contrary to any SARB policies for the procurement of services.   </w:t>
      </w:r>
    </w:p>
    <w:p w:rsidR="00882018" w:rsidRPr="007503AC" w:rsidRDefault="00882018" w:rsidP="00635B67">
      <w:pPr>
        <w:tabs>
          <w:tab w:val="left" w:pos="432"/>
          <w:tab w:val="left" w:pos="864"/>
        </w:tabs>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7663AF" w:rsidRDefault="007663AF" w:rsidP="00635B67">
      <w:pPr>
        <w:tabs>
          <w:tab w:val="left" w:pos="432"/>
          <w:tab w:val="left" w:pos="864"/>
        </w:tabs>
        <w:spacing w:line="276" w:lineRule="auto"/>
        <w:jc w:val="both"/>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EF"/>
    <w:multiLevelType w:val="hybridMultilevel"/>
    <w:tmpl w:val="06D43882"/>
    <w:lvl w:ilvl="0" w:tplc="2A26529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3487"/>
    <w:multiLevelType w:val="hybridMultilevel"/>
    <w:tmpl w:val="AA6A49A8"/>
    <w:lvl w:ilvl="0" w:tplc="B6C42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9561E"/>
    <w:multiLevelType w:val="hybridMultilevel"/>
    <w:tmpl w:val="05D62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A6C291E"/>
    <w:multiLevelType w:val="hybridMultilevel"/>
    <w:tmpl w:val="04C0B736"/>
    <w:lvl w:ilvl="0" w:tplc="072449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123214"/>
    <w:multiLevelType w:val="hybridMultilevel"/>
    <w:tmpl w:val="BA92FD46"/>
    <w:lvl w:ilvl="0" w:tplc="9E3C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361D8"/>
    <w:multiLevelType w:val="hybridMultilevel"/>
    <w:tmpl w:val="BA886A02"/>
    <w:lvl w:ilvl="0" w:tplc="11868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C7BF8"/>
    <w:multiLevelType w:val="hybridMultilevel"/>
    <w:tmpl w:val="B5E82D42"/>
    <w:lvl w:ilvl="0" w:tplc="DC82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46973"/>
    <w:multiLevelType w:val="hybridMultilevel"/>
    <w:tmpl w:val="F02C4984"/>
    <w:lvl w:ilvl="0" w:tplc="3D6490CA">
      <w:numFmt w:val="bullet"/>
      <w:lvlText w:val="•"/>
      <w:lvlJc w:val="left"/>
      <w:pPr>
        <w:ind w:left="1220" w:hanging="430"/>
      </w:pPr>
      <w:rPr>
        <w:rFonts w:ascii="Arial" w:eastAsia="Times New Roman" w:hAnsi="Arial" w:cs="Arial" w:hint="default"/>
      </w:rPr>
    </w:lvl>
    <w:lvl w:ilvl="1" w:tplc="1C090001">
      <w:start w:val="1"/>
      <w:numFmt w:val="bullet"/>
      <w:lvlText w:val=""/>
      <w:lvlJc w:val="left"/>
      <w:pPr>
        <w:ind w:left="1870" w:hanging="360"/>
      </w:pPr>
      <w:rPr>
        <w:rFonts w:ascii="Symbol" w:hAnsi="Symbol"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9" w15:restartNumberingAfterBreak="0">
    <w:nsid w:val="6093354C"/>
    <w:multiLevelType w:val="hybridMultilevel"/>
    <w:tmpl w:val="997A47FE"/>
    <w:lvl w:ilvl="0" w:tplc="3010206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15F51AE"/>
    <w:multiLevelType w:val="hybridMultilevel"/>
    <w:tmpl w:val="B9AEE5CE"/>
    <w:lvl w:ilvl="0" w:tplc="8FE8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C8427D5"/>
    <w:multiLevelType w:val="hybridMultilevel"/>
    <w:tmpl w:val="36A01CD2"/>
    <w:lvl w:ilvl="0" w:tplc="CDDE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2"/>
  </w:num>
  <w:num w:numId="6">
    <w:abstractNumId w:val="8"/>
  </w:num>
  <w:num w:numId="7">
    <w:abstractNumId w:val="6"/>
  </w:num>
  <w:num w:numId="8">
    <w:abstractNumId w:val="10"/>
  </w:num>
  <w:num w:numId="9">
    <w:abstractNumId w:val="4"/>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B5D30"/>
    <w:rsid w:val="000C2BEF"/>
    <w:rsid w:val="000C48D8"/>
    <w:rsid w:val="000E1B36"/>
    <w:rsid w:val="000F281D"/>
    <w:rsid w:val="000F3B14"/>
    <w:rsid w:val="000F477D"/>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855CE"/>
    <w:rsid w:val="002867DD"/>
    <w:rsid w:val="002A4157"/>
    <w:rsid w:val="002F6E86"/>
    <w:rsid w:val="00304578"/>
    <w:rsid w:val="00307402"/>
    <w:rsid w:val="00330226"/>
    <w:rsid w:val="003421BD"/>
    <w:rsid w:val="00344553"/>
    <w:rsid w:val="00351BF5"/>
    <w:rsid w:val="003F3C43"/>
    <w:rsid w:val="0043065E"/>
    <w:rsid w:val="00455CE1"/>
    <w:rsid w:val="0047127F"/>
    <w:rsid w:val="00472D86"/>
    <w:rsid w:val="00485B2E"/>
    <w:rsid w:val="004A078E"/>
    <w:rsid w:val="004F43FB"/>
    <w:rsid w:val="005141B3"/>
    <w:rsid w:val="00524E11"/>
    <w:rsid w:val="00532BB4"/>
    <w:rsid w:val="00533C35"/>
    <w:rsid w:val="005706F1"/>
    <w:rsid w:val="00574E19"/>
    <w:rsid w:val="00591A66"/>
    <w:rsid w:val="005A25BC"/>
    <w:rsid w:val="00605C7D"/>
    <w:rsid w:val="00613FC6"/>
    <w:rsid w:val="006239F1"/>
    <w:rsid w:val="00624D20"/>
    <w:rsid w:val="0062770E"/>
    <w:rsid w:val="00635B67"/>
    <w:rsid w:val="0064275F"/>
    <w:rsid w:val="00646E7C"/>
    <w:rsid w:val="00647EF2"/>
    <w:rsid w:val="00653A85"/>
    <w:rsid w:val="00674982"/>
    <w:rsid w:val="00685058"/>
    <w:rsid w:val="00693A64"/>
    <w:rsid w:val="006D1766"/>
    <w:rsid w:val="007118EA"/>
    <w:rsid w:val="00726A9C"/>
    <w:rsid w:val="007359BF"/>
    <w:rsid w:val="00743F26"/>
    <w:rsid w:val="007503AC"/>
    <w:rsid w:val="007540E0"/>
    <w:rsid w:val="007549B6"/>
    <w:rsid w:val="007663AF"/>
    <w:rsid w:val="0076668B"/>
    <w:rsid w:val="007749D9"/>
    <w:rsid w:val="00780F57"/>
    <w:rsid w:val="00791465"/>
    <w:rsid w:val="007914E0"/>
    <w:rsid w:val="007A32AF"/>
    <w:rsid w:val="007B1BA1"/>
    <w:rsid w:val="007D4060"/>
    <w:rsid w:val="007D40D2"/>
    <w:rsid w:val="007E56A2"/>
    <w:rsid w:val="007F197E"/>
    <w:rsid w:val="00803AC4"/>
    <w:rsid w:val="00813FF0"/>
    <w:rsid w:val="008321A4"/>
    <w:rsid w:val="00840093"/>
    <w:rsid w:val="00852DC3"/>
    <w:rsid w:val="00876CBB"/>
    <w:rsid w:val="00882018"/>
    <w:rsid w:val="00891265"/>
    <w:rsid w:val="008B4E4F"/>
    <w:rsid w:val="008C2559"/>
    <w:rsid w:val="008C2DED"/>
    <w:rsid w:val="008E01C3"/>
    <w:rsid w:val="008E4142"/>
    <w:rsid w:val="009021F5"/>
    <w:rsid w:val="00911717"/>
    <w:rsid w:val="009163A5"/>
    <w:rsid w:val="009266D3"/>
    <w:rsid w:val="00953363"/>
    <w:rsid w:val="0096007E"/>
    <w:rsid w:val="009951EA"/>
    <w:rsid w:val="009A18A7"/>
    <w:rsid w:val="009A3C71"/>
    <w:rsid w:val="009C12D0"/>
    <w:rsid w:val="009C69F6"/>
    <w:rsid w:val="009E1AB2"/>
    <w:rsid w:val="00A02200"/>
    <w:rsid w:val="00A11CD8"/>
    <w:rsid w:val="00A35002"/>
    <w:rsid w:val="00A45FE5"/>
    <w:rsid w:val="00A525F0"/>
    <w:rsid w:val="00A566A2"/>
    <w:rsid w:val="00A5731A"/>
    <w:rsid w:val="00A677C3"/>
    <w:rsid w:val="00A72B9B"/>
    <w:rsid w:val="00AA4ED9"/>
    <w:rsid w:val="00AD00CE"/>
    <w:rsid w:val="00AD5C9B"/>
    <w:rsid w:val="00AE07DE"/>
    <w:rsid w:val="00B03AF4"/>
    <w:rsid w:val="00B03DD6"/>
    <w:rsid w:val="00B20E37"/>
    <w:rsid w:val="00B2276A"/>
    <w:rsid w:val="00B23547"/>
    <w:rsid w:val="00B35E0C"/>
    <w:rsid w:val="00B447E6"/>
    <w:rsid w:val="00B5649A"/>
    <w:rsid w:val="00B72D0B"/>
    <w:rsid w:val="00B77F67"/>
    <w:rsid w:val="00B913C7"/>
    <w:rsid w:val="00B95452"/>
    <w:rsid w:val="00BC3150"/>
    <w:rsid w:val="00BD31C6"/>
    <w:rsid w:val="00BF5863"/>
    <w:rsid w:val="00C25C7E"/>
    <w:rsid w:val="00C312EA"/>
    <w:rsid w:val="00C44C35"/>
    <w:rsid w:val="00C472D6"/>
    <w:rsid w:val="00C60822"/>
    <w:rsid w:val="00C82101"/>
    <w:rsid w:val="00CB4FDB"/>
    <w:rsid w:val="00CB51AD"/>
    <w:rsid w:val="00CC2F3E"/>
    <w:rsid w:val="00D01E04"/>
    <w:rsid w:val="00D22E21"/>
    <w:rsid w:val="00D363B6"/>
    <w:rsid w:val="00D57C49"/>
    <w:rsid w:val="00D8139F"/>
    <w:rsid w:val="00DA53B6"/>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 w:val="00FF5B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39CE8"/>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13BA-178A-41D5-A0D6-CA460AB1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3</Pages>
  <Words>1040</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2018-09-18T08:51:00Z</cp:lastPrinted>
  <dcterms:created xsi:type="dcterms:W3CDTF">2018-10-08T09:20:00Z</dcterms:created>
  <dcterms:modified xsi:type="dcterms:W3CDTF">2018-10-08T09:20:00Z</dcterms:modified>
</cp:coreProperties>
</file>