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2C448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C4486" w:rsidRDefault="002C4486"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2C4486" w:rsidRDefault="00B236EF" w:rsidP="00872C8F">
      <w:pPr>
        <w:spacing w:after="0" w:line="360" w:lineRule="auto"/>
        <w:ind w:left="720" w:hanging="720"/>
        <w:jc w:val="both"/>
        <w:outlineLvl w:val="0"/>
        <w:rPr>
          <w:rFonts w:ascii="Arial" w:hAnsi="Arial" w:cs="Arial"/>
          <w:b/>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7B349E">
        <w:rPr>
          <w:rFonts w:ascii="Arial" w:hAnsi="Arial" w:cs="Arial"/>
          <w:b/>
          <w:sz w:val="24"/>
          <w:szCs w:val="24"/>
        </w:rPr>
        <w:t>2446</w:t>
      </w:r>
    </w:p>
    <w:p w:rsidR="00872C8F" w:rsidRDefault="002C4486" w:rsidP="00872C8F">
      <w:pPr>
        <w:spacing w:after="0" w:line="360" w:lineRule="auto"/>
        <w:ind w:left="720" w:hanging="720"/>
        <w:jc w:val="both"/>
        <w:outlineLvl w:val="0"/>
        <w:rPr>
          <w:rFonts w:ascii="Arial" w:hAnsi="Arial" w:cs="Arial"/>
          <w:b/>
          <w:bCs/>
          <w:sz w:val="24"/>
          <w:szCs w:val="24"/>
        </w:rPr>
      </w:pPr>
      <w:r>
        <w:rPr>
          <w:rFonts w:ascii="Arial" w:hAnsi="Arial" w:cs="Arial"/>
          <w:b/>
          <w:sz w:val="24"/>
          <w:szCs w:val="24"/>
        </w:rPr>
        <w:t>DATE PUBLISHED: 26 AUGUST 2022</w:t>
      </w:r>
      <w:r w:rsidR="00872C8F" w:rsidRPr="00B236EF">
        <w:rPr>
          <w:rFonts w:ascii="Arial" w:hAnsi="Arial" w:cs="Arial"/>
          <w:b/>
          <w:bCs/>
          <w:sz w:val="24"/>
          <w:szCs w:val="24"/>
        </w:rPr>
        <w:tab/>
      </w:r>
    </w:p>
    <w:p w:rsidR="007B349E" w:rsidRPr="009F7FA6" w:rsidRDefault="007B349E" w:rsidP="007B349E">
      <w:pPr>
        <w:spacing w:before="100" w:beforeAutospacing="1" w:after="100" w:afterAutospacing="1" w:line="276" w:lineRule="auto"/>
        <w:jc w:val="both"/>
        <w:outlineLvl w:val="0"/>
        <w:rPr>
          <w:rFonts w:ascii="Arial" w:hAnsi="Arial" w:cs="Arial"/>
          <w:b/>
          <w:sz w:val="24"/>
          <w:szCs w:val="24"/>
        </w:rPr>
      </w:pPr>
      <w:r w:rsidRPr="009F7FA6">
        <w:rPr>
          <w:rFonts w:ascii="Arial" w:hAnsi="Arial" w:cs="Arial"/>
          <w:b/>
          <w:sz w:val="24"/>
          <w:szCs w:val="24"/>
        </w:rPr>
        <w:t>Mr M J Cuthbert (DA) to ask the Minister of Trade, Industry and Competition:</w:t>
      </w:r>
    </w:p>
    <w:p w:rsidR="007B349E" w:rsidRPr="009F7FA6" w:rsidRDefault="007B349E" w:rsidP="007B349E">
      <w:pPr>
        <w:spacing w:before="100" w:beforeAutospacing="1" w:after="100" w:afterAutospacing="1" w:line="276" w:lineRule="auto"/>
        <w:jc w:val="both"/>
        <w:outlineLvl w:val="0"/>
        <w:rPr>
          <w:rFonts w:ascii="Arial" w:hAnsi="Arial" w:cs="Arial"/>
          <w:sz w:val="24"/>
          <w:szCs w:val="24"/>
        </w:rPr>
      </w:pPr>
      <w:r w:rsidRPr="009F7FA6">
        <w:rPr>
          <w:rFonts w:ascii="Arial" w:hAnsi="Arial" w:cs="Arial"/>
          <w:sz w:val="24"/>
          <w:szCs w:val="24"/>
        </w:rPr>
        <w:t>What are the details of the (a) basic salary, (b) provident fund, (c) travel allowance (d) cellphone allowance and (e) performance bonus for the board members of the executive of the National Lotteries Commission for the position of (i) Executive: Corporate Services, (ii) Company Secretary in the (aa) 2019-20, (bb) 2020-21 and (cc) 2021-22 financial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F7FA6">
        <w:rPr>
          <w:rFonts w:ascii="Arial" w:hAnsi="Arial" w:cs="Arial"/>
          <w:sz w:val="24"/>
          <w:szCs w:val="24"/>
        </w:rPr>
        <w:t>NW2870E</w:t>
      </w:r>
    </w:p>
    <w:p w:rsidR="00DE45A5" w:rsidRDefault="00DE45A5" w:rsidP="00872C8F">
      <w:pPr>
        <w:spacing w:after="0" w:line="360" w:lineRule="auto"/>
        <w:ind w:left="720" w:hanging="720"/>
        <w:jc w:val="both"/>
        <w:outlineLvl w:val="0"/>
        <w:rPr>
          <w:rFonts w:ascii="Arial" w:eastAsia="Times New Roman" w:hAnsi="Arial" w:cs="Arial"/>
          <w:b/>
          <w:color w:val="000000" w:themeColor="text1"/>
          <w:sz w:val="24"/>
          <w:szCs w:val="24"/>
          <w:lang w:val="en-US"/>
        </w:rPr>
      </w:pPr>
    </w:p>
    <w:p w:rsidR="00C60F52" w:rsidRDefault="002C4486" w:rsidP="00D66290">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2C4486" w:rsidRDefault="002C4486" w:rsidP="00D66290">
      <w:pPr>
        <w:spacing w:after="0" w:line="360" w:lineRule="auto"/>
        <w:jc w:val="both"/>
        <w:outlineLvl w:val="0"/>
        <w:rPr>
          <w:rFonts w:ascii="Arial" w:eastAsia="Times New Roman" w:hAnsi="Arial" w:cs="Arial"/>
          <w:b/>
          <w:color w:val="000000" w:themeColor="text1"/>
          <w:sz w:val="24"/>
          <w:szCs w:val="24"/>
          <w:lang w:val="en-US"/>
        </w:rPr>
      </w:pPr>
    </w:p>
    <w:p w:rsidR="002C4486" w:rsidRPr="002C4486" w:rsidRDefault="002C4486" w:rsidP="00D66290">
      <w:pPr>
        <w:spacing w:after="0" w:line="360" w:lineRule="auto"/>
        <w:jc w:val="both"/>
        <w:outlineLvl w:val="0"/>
        <w:rPr>
          <w:rFonts w:ascii="Arial" w:eastAsia="Times New Roman" w:hAnsi="Arial" w:cs="Arial"/>
          <w:sz w:val="24"/>
          <w:szCs w:val="24"/>
          <w:lang w:val="en-US"/>
        </w:rPr>
      </w:pPr>
      <w:r>
        <w:rPr>
          <w:rFonts w:ascii="Arial" w:eastAsia="Times New Roman" w:hAnsi="Arial" w:cs="Arial"/>
          <w:color w:val="000000" w:themeColor="text1"/>
          <w:sz w:val="24"/>
          <w:szCs w:val="24"/>
          <w:lang w:val="en-US"/>
        </w:rPr>
        <w:t>The National Lotteries Commission has furnished me with the following response to the question:</w:t>
      </w:r>
    </w:p>
    <w:p w:rsidR="007B349E" w:rsidRDefault="007B349E" w:rsidP="007B349E">
      <w:pPr>
        <w:pStyle w:val="ListParagraph"/>
        <w:spacing w:line="276" w:lineRule="auto"/>
        <w:ind w:left="0"/>
        <w:rPr>
          <w:rFonts w:ascii="Arial" w:hAnsi="Arial" w:cs="Arial"/>
          <w:bCs/>
          <w:sz w:val="24"/>
          <w:szCs w:val="24"/>
          <w:lang w:val="en-US"/>
        </w:rPr>
      </w:pPr>
    </w:p>
    <w:p w:rsidR="007B349E" w:rsidRPr="007B349E" w:rsidRDefault="002C4486" w:rsidP="007B349E">
      <w:pPr>
        <w:pStyle w:val="ListParagraph"/>
        <w:spacing w:line="276" w:lineRule="auto"/>
        <w:ind w:left="0"/>
        <w:jc w:val="both"/>
        <w:rPr>
          <w:rFonts w:ascii="Arial" w:hAnsi="Arial" w:cs="Arial"/>
          <w:bCs/>
          <w:sz w:val="24"/>
          <w:szCs w:val="24"/>
          <w:lang w:val="en-US"/>
        </w:rPr>
      </w:pPr>
      <w:r>
        <w:rPr>
          <w:rFonts w:ascii="Arial" w:hAnsi="Arial" w:cs="Arial"/>
          <w:bCs/>
          <w:sz w:val="24"/>
          <w:szCs w:val="24"/>
          <w:lang w:val="en-US"/>
        </w:rPr>
        <w:t>“</w:t>
      </w:r>
      <w:r w:rsidR="00A33B24">
        <w:rPr>
          <w:rFonts w:ascii="Arial" w:hAnsi="Arial" w:cs="Arial"/>
          <w:bCs/>
          <w:sz w:val="24"/>
          <w:szCs w:val="24"/>
          <w:lang w:val="en-US"/>
        </w:rPr>
        <w:t xml:space="preserve">The </w:t>
      </w:r>
      <w:r w:rsidR="007B349E" w:rsidRPr="007B349E">
        <w:rPr>
          <w:rFonts w:ascii="Arial" w:hAnsi="Arial" w:cs="Arial"/>
          <w:bCs/>
          <w:sz w:val="24"/>
          <w:szCs w:val="24"/>
          <w:lang w:val="en-US"/>
        </w:rPr>
        <w:t xml:space="preserve">Corporate Services was disbanded in June 2017, therefore the position of Executive: Corporate Services ceased to exist. </w:t>
      </w:r>
    </w:p>
    <w:p w:rsidR="007532DC" w:rsidRDefault="007532DC" w:rsidP="007532DC">
      <w:pPr>
        <w:pStyle w:val="ListParagraph"/>
        <w:spacing w:after="0" w:line="276" w:lineRule="auto"/>
        <w:ind w:left="0"/>
        <w:jc w:val="both"/>
        <w:rPr>
          <w:rFonts w:ascii="Arial" w:hAnsi="Arial" w:cs="Arial"/>
          <w:bCs/>
          <w:sz w:val="24"/>
          <w:szCs w:val="24"/>
          <w:lang w:val="en-GB"/>
        </w:rPr>
      </w:pPr>
    </w:p>
    <w:p w:rsidR="007532DC" w:rsidRPr="007532DC" w:rsidRDefault="007532DC" w:rsidP="007532DC">
      <w:pPr>
        <w:spacing w:line="259" w:lineRule="auto"/>
        <w:ind w:left="-900" w:firstLine="900"/>
        <w:rPr>
          <w:rFonts w:ascii="Arial" w:eastAsia="Calibri" w:hAnsi="Arial" w:cs="Arial"/>
          <w:b/>
          <w:bCs/>
          <w:sz w:val="18"/>
          <w:szCs w:val="18"/>
        </w:rPr>
      </w:pPr>
      <w:r w:rsidRPr="007532DC">
        <w:rPr>
          <w:rFonts w:ascii="Arial" w:eastAsia="Calibri" w:hAnsi="Arial" w:cs="Arial"/>
          <w:b/>
          <w:bCs/>
          <w:szCs w:val="18"/>
        </w:rPr>
        <w:t>FINANCIAL YEAR: 2019/2020</w:t>
      </w:r>
      <w:r w:rsidR="000467B3">
        <w:rPr>
          <w:rFonts w:ascii="Arial" w:eastAsia="Calibri" w:hAnsi="Arial" w:cs="Arial"/>
          <w:b/>
          <w:bCs/>
          <w:szCs w:val="18"/>
        </w:rPr>
        <w:t xml:space="preserve"> (aa)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419"/>
        <w:gridCol w:w="1396"/>
        <w:gridCol w:w="1146"/>
        <w:gridCol w:w="1316"/>
        <w:gridCol w:w="1582"/>
        <w:gridCol w:w="979"/>
      </w:tblGrid>
      <w:tr w:rsidR="007532DC" w:rsidRPr="007532DC" w:rsidTr="007B349E">
        <w:trPr>
          <w:trHeight w:val="999"/>
        </w:trPr>
        <w:tc>
          <w:tcPr>
            <w:tcW w:w="1801" w:type="dxa"/>
            <w:shd w:val="clear" w:color="auto" w:fill="002060"/>
            <w:noWrap/>
            <w:hideMark/>
          </w:tcPr>
          <w:p w:rsidR="007532DC" w:rsidRPr="007532DC" w:rsidRDefault="007532DC" w:rsidP="007532DC">
            <w:pPr>
              <w:spacing w:line="240" w:lineRule="auto"/>
              <w:ind w:left="-650"/>
              <w:jc w:val="center"/>
              <w:rPr>
                <w:rFonts w:ascii="Arial" w:eastAsia="Calibri" w:hAnsi="Arial" w:cs="Arial"/>
                <w:color w:val="FFFFFF"/>
                <w:sz w:val="18"/>
                <w:szCs w:val="18"/>
              </w:rPr>
            </w:pPr>
            <w:bookmarkStart w:id="0" w:name="_Hlk113027881"/>
            <w:r w:rsidRPr="007532DC">
              <w:rPr>
                <w:rFonts w:ascii="Arial" w:eastAsia="Calibri" w:hAnsi="Arial" w:cs="Arial"/>
                <w:b/>
                <w:bCs/>
                <w:color w:val="FFFFFF"/>
                <w:sz w:val="18"/>
                <w:szCs w:val="18"/>
              </w:rPr>
              <w:t>Executives</w:t>
            </w:r>
          </w:p>
        </w:tc>
        <w:tc>
          <w:tcPr>
            <w:tcW w:w="1419" w:type="dxa"/>
            <w:shd w:val="clear" w:color="auto" w:fill="002060"/>
            <w:noWrap/>
            <w:hideMark/>
          </w:tcPr>
          <w:p w:rsidR="007532DC" w:rsidRPr="007532DC" w:rsidRDefault="007532DC" w:rsidP="007532DC">
            <w:pPr>
              <w:spacing w:line="240"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Pr="007532DC">
              <w:rPr>
                <w:rFonts w:ascii="Arial" w:eastAsia="Calibri" w:hAnsi="Arial" w:cs="Arial"/>
                <w:b/>
                <w:bCs/>
                <w:color w:val="FFFFFF"/>
                <w:sz w:val="18"/>
                <w:szCs w:val="18"/>
              </w:rPr>
              <w:t>Basic</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39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 xml:space="preserve">(b) </w:t>
            </w:r>
            <w:r w:rsidRPr="007532DC">
              <w:rPr>
                <w:rFonts w:ascii="Arial" w:eastAsia="Calibri" w:hAnsi="Arial" w:cs="Arial"/>
                <w:b/>
                <w:bCs/>
                <w:sz w:val="18"/>
                <w:szCs w:val="18"/>
              </w:rPr>
              <w:t>Provident Fund and Risk Benefit Contributions</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14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 xml:space="preserve">(c) </w:t>
            </w:r>
            <w:r w:rsidRPr="007532DC">
              <w:rPr>
                <w:rFonts w:ascii="Arial" w:eastAsia="Calibri" w:hAnsi="Arial" w:cs="Arial"/>
                <w:b/>
                <w:bCs/>
                <w:sz w:val="18"/>
                <w:szCs w:val="18"/>
              </w:rPr>
              <w:t>Travel Allowance</w:t>
            </w:r>
          </w:p>
          <w:p w:rsidR="007532DC" w:rsidRPr="007532DC" w:rsidRDefault="007532DC" w:rsidP="007532DC">
            <w:pPr>
              <w:spacing w:line="240"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31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(d)</w:t>
            </w:r>
            <w:r w:rsidRPr="007532DC">
              <w:rPr>
                <w:rFonts w:ascii="Arial" w:eastAsia="Calibri" w:hAnsi="Arial" w:cs="Arial"/>
                <w:b/>
                <w:bCs/>
                <w:sz w:val="18"/>
                <w:szCs w:val="18"/>
              </w:rPr>
              <w:t>Cellphone Allowance</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582"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(e)</w:t>
            </w:r>
            <w:r w:rsidRPr="007532DC">
              <w:rPr>
                <w:rFonts w:ascii="Arial" w:eastAsia="Calibri" w:hAnsi="Arial" w:cs="Arial"/>
                <w:b/>
                <w:bCs/>
                <w:sz w:val="18"/>
                <w:szCs w:val="18"/>
              </w:rPr>
              <w:t>Performance Bonus</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979" w:type="dxa"/>
            <w:shd w:val="clear" w:color="auto" w:fill="002060"/>
            <w:noWrap/>
            <w:hideMark/>
          </w:tcPr>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b/>
                <w:bCs/>
                <w:color w:val="FFFFFF"/>
                <w:sz w:val="18"/>
                <w:szCs w:val="18"/>
              </w:rPr>
              <w:t>Total</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r>
      <w:tr w:rsidR="003A3AFE" w:rsidRPr="007532DC" w:rsidTr="007B349E">
        <w:trPr>
          <w:trHeight w:val="269"/>
        </w:trPr>
        <w:tc>
          <w:tcPr>
            <w:tcW w:w="1801" w:type="dxa"/>
            <w:shd w:val="clear" w:color="auto" w:fill="auto"/>
            <w:noWrap/>
            <w:vAlign w:val="center"/>
            <w:hideMark/>
          </w:tcPr>
          <w:p w:rsidR="003A3AFE" w:rsidRPr="007532DC" w:rsidRDefault="003A3AFE" w:rsidP="003A3AFE">
            <w:pPr>
              <w:pStyle w:val="ListParagraph"/>
              <w:numPr>
                <w:ilvl w:val="0"/>
                <w:numId w:val="29"/>
              </w:numPr>
              <w:spacing w:line="240" w:lineRule="auto"/>
              <w:ind w:left="321" w:hanging="341"/>
              <w:jc w:val="both"/>
              <w:rPr>
                <w:rFonts w:ascii="Arial" w:eastAsia="Calibri" w:hAnsi="Arial" w:cs="Arial"/>
                <w:sz w:val="18"/>
                <w:szCs w:val="18"/>
              </w:rPr>
            </w:pPr>
            <w:r>
              <w:rPr>
                <w:rFonts w:ascii="Arial" w:eastAsia="Calibri" w:hAnsi="Arial" w:cs="Arial"/>
                <w:sz w:val="18"/>
                <w:szCs w:val="18"/>
              </w:rPr>
              <w:t>Company Secretary</w:t>
            </w:r>
          </w:p>
        </w:tc>
        <w:tc>
          <w:tcPr>
            <w:tcW w:w="1419"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1 581</w:t>
            </w:r>
          </w:p>
        </w:tc>
        <w:tc>
          <w:tcPr>
            <w:tcW w:w="1396"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228</w:t>
            </w:r>
          </w:p>
        </w:tc>
        <w:tc>
          <w:tcPr>
            <w:tcW w:w="1146"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w:t>
            </w:r>
          </w:p>
        </w:tc>
        <w:tc>
          <w:tcPr>
            <w:tcW w:w="1316"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48</w:t>
            </w:r>
          </w:p>
        </w:tc>
        <w:tc>
          <w:tcPr>
            <w:tcW w:w="1582"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275</w:t>
            </w:r>
          </w:p>
        </w:tc>
        <w:tc>
          <w:tcPr>
            <w:tcW w:w="979"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b/>
                <w:bCs/>
                <w:sz w:val="18"/>
                <w:szCs w:val="18"/>
              </w:rPr>
            </w:pPr>
            <w:r>
              <w:rPr>
                <w:rFonts w:ascii="Arial" w:eastAsia="Calibri" w:hAnsi="Arial" w:cs="Arial"/>
                <w:b/>
                <w:bCs/>
                <w:sz w:val="18"/>
                <w:szCs w:val="18"/>
              </w:rPr>
              <w:t>2 132</w:t>
            </w:r>
          </w:p>
        </w:tc>
      </w:tr>
      <w:tr w:rsidR="003A3AFE" w:rsidRPr="007532DC" w:rsidTr="007B349E">
        <w:trPr>
          <w:trHeight w:val="269"/>
        </w:trPr>
        <w:tc>
          <w:tcPr>
            <w:tcW w:w="1801" w:type="dxa"/>
            <w:shd w:val="clear" w:color="auto" w:fill="auto"/>
            <w:noWrap/>
            <w:vAlign w:val="center"/>
            <w:hideMark/>
          </w:tcPr>
          <w:p w:rsidR="003A3AFE" w:rsidRPr="007532DC" w:rsidRDefault="003A3AFE" w:rsidP="003A3AFE">
            <w:pPr>
              <w:pStyle w:val="ListParagraph"/>
              <w:numPr>
                <w:ilvl w:val="0"/>
                <w:numId w:val="29"/>
              </w:numPr>
              <w:spacing w:line="240" w:lineRule="auto"/>
              <w:ind w:left="321" w:hanging="321"/>
              <w:jc w:val="both"/>
              <w:rPr>
                <w:rFonts w:ascii="Arial" w:eastAsia="Calibri" w:hAnsi="Arial" w:cs="Arial"/>
                <w:sz w:val="18"/>
                <w:szCs w:val="18"/>
              </w:rPr>
            </w:pPr>
            <w:r w:rsidRPr="002F1EFA">
              <w:rPr>
                <w:rFonts w:ascii="Arial" w:eastAsia="Calibri" w:hAnsi="Arial" w:cs="Arial"/>
                <w:sz w:val="18"/>
                <w:szCs w:val="18"/>
              </w:rPr>
              <w:t>Executive:</w:t>
            </w:r>
            <w:r>
              <w:rPr>
                <w:rFonts w:ascii="Arial" w:eastAsia="Calibri" w:hAnsi="Arial" w:cs="Arial"/>
                <w:sz w:val="18"/>
                <w:szCs w:val="18"/>
              </w:rPr>
              <w:t xml:space="preserve"> Corporate Services</w:t>
            </w:r>
          </w:p>
        </w:tc>
        <w:tc>
          <w:tcPr>
            <w:tcW w:w="1419" w:type="dxa"/>
            <w:shd w:val="clear" w:color="auto" w:fill="auto"/>
            <w:noWrap/>
            <w:vAlign w:val="center"/>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n/a</w:t>
            </w:r>
          </w:p>
        </w:tc>
        <w:tc>
          <w:tcPr>
            <w:tcW w:w="1396" w:type="dxa"/>
            <w:shd w:val="clear" w:color="auto" w:fill="auto"/>
            <w:noWrap/>
            <w:vAlign w:val="center"/>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n/a</w:t>
            </w:r>
          </w:p>
        </w:tc>
        <w:tc>
          <w:tcPr>
            <w:tcW w:w="1146" w:type="dxa"/>
            <w:shd w:val="clear" w:color="auto" w:fill="auto"/>
            <w:noWrap/>
            <w:vAlign w:val="center"/>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n/a</w:t>
            </w:r>
          </w:p>
        </w:tc>
        <w:tc>
          <w:tcPr>
            <w:tcW w:w="1316" w:type="dxa"/>
            <w:shd w:val="clear" w:color="auto" w:fill="auto"/>
            <w:noWrap/>
            <w:vAlign w:val="center"/>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n/a</w:t>
            </w:r>
          </w:p>
        </w:tc>
        <w:tc>
          <w:tcPr>
            <w:tcW w:w="1582" w:type="dxa"/>
            <w:shd w:val="clear" w:color="auto" w:fill="auto"/>
            <w:noWrap/>
            <w:vAlign w:val="center"/>
          </w:tcPr>
          <w:p w:rsidR="003A3AFE" w:rsidRPr="00176E59" w:rsidRDefault="003A3AFE" w:rsidP="003A3AFE">
            <w:pPr>
              <w:spacing w:line="259" w:lineRule="auto"/>
              <w:ind w:left="-20"/>
              <w:jc w:val="center"/>
              <w:rPr>
                <w:rFonts w:ascii="Arial" w:eastAsia="Calibri" w:hAnsi="Arial" w:cs="Arial"/>
                <w:sz w:val="18"/>
                <w:szCs w:val="18"/>
              </w:rPr>
            </w:pPr>
            <w:r>
              <w:rPr>
                <w:rFonts w:ascii="Arial" w:eastAsia="Calibri" w:hAnsi="Arial" w:cs="Arial"/>
                <w:sz w:val="18"/>
                <w:szCs w:val="18"/>
              </w:rPr>
              <w:t>n/a</w:t>
            </w:r>
          </w:p>
        </w:tc>
        <w:tc>
          <w:tcPr>
            <w:tcW w:w="979" w:type="dxa"/>
            <w:shd w:val="clear" w:color="auto" w:fill="auto"/>
            <w:noWrap/>
            <w:vAlign w:val="center"/>
            <w:hideMark/>
          </w:tcPr>
          <w:p w:rsidR="003A3AFE" w:rsidRPr="00176E59" w:rsidRDefault="003A3AFE" w:rsidP="003A3AFE">
            <w:pPr>
              <w:spacing w:line="259" w:lineRule="auto"/>
              <w:ind w:left="-20"/>
              <w:jc w:val="center"/>
              <w:rPr>
                <w:rFonts w:ascii="Arial" w:eastAsia="Calibri" w:hAnsi="Arial" w:cs="Arial"/>
                <w:b/>
                <w:bCs/>
                <w:sz w:val="18"/>
                <w:szCs w:val="18"/>
              </w:rPr>
            </w:pPr>
            <w:r>
              <w:rPr>
                <w:rFonts w:ascii="Arial" w:eastAsia="Calibri" w:hAnsi="Arial" w:cs="Arial"/>
                <w:sz w:val="18"/>
                <w:szCs w:val="18"/>
              </w:rPr>
              <w:t>n/a</w:t>
            </w:r>
          </w:p>
        </w:tc>
      </w:tr>
      <w:bookmarkEnd w:id="0"/>
    </w:tbl>
    <w:p w:rsidR="007532DC" w:rsidRDefault="007532DC"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731540" w:rsidRDefault="00731540"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A16E10" w:rsidRDefault="00A16E10" w:rsidP="00122C57">
      <w:pPr>
        <w:spacing w:line="259" w:lineRule="auto"/>
        <w:rPr>
          <w:rFonts w:ascii="Arial" w:eastAsia="Calibri" w:hAnsi="Arial" w:cs="Arial"/>
          <w:sz w:val="18"/>
          <w:szCs w:val="18"/>
        </w:rPr>
      </w:pPr>
    </w:p>
    <w:p w:rsidR="007532DC" w:rsidRPr="007532DC" w:rsidRDefault="007532DC" w:rsidP="007532DC">
      <w:pPr>
        <w:spacing w:line="259" w:lineRule="auto"/>
        <w:ind w:left="-900" w:firstLine="900"/>
        <w:rPr>
          <w:rFonts w:ascii="Arial" w:eastAsia="Calibri" w:hAnsi="Arial" w:cs="Arial"/>
          <w:b/>
          <w:bCs/>
          <w:szCs w:val="18"/>
        </w:rPr>
      </w:pPr>
      <w:r w:rsidRPr="007532DC">
        <w:rPr>
          <w:rFonts w:ascii="Arial" w:eastAsia="Calibri" w:hAnsi="Arial" w:cs="Arial"/>
          <w:b/>
          <w:bCs/>
          <w:szCs w:val="18"/>
        </w:rPr>
        <w:t>FINANCIAL YEAR: 2020/2021</w:t>
      </w:r>
      <w:r w:rsidR="000467B3">
        <w:rPr>
          <w:rFonts w:ascii="Arial" w:eastAsia="Calibri" w:hAnsi="Arial" w:cs="Arial"/>
          <w:b/>
          <w:bCs/>
          <w:szCs w:val="18"/>
        </w:rPr>
        <w:t xml:space="preserve"> (bb)</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992"/>
        <w:gridCol w:w="1418"/>
        <w:gridCol w:w="1275"/>
        <w:gridCol w:w="1418"/>
        <w:gridCol w:w="1701"/>
        <w:gridCol w:w="1276"/>
      </w:tblGrid>
      <w:tr w:rsidR="007532DC" w:rsidRPr="007532DC" w:rsidTr="007B349E">
        <w:trPr>
          <w:trHeight w:val="1414"/>
        </w:trPr>
        <w:tc>
          <w:tcPr>
            <w:tcW w:w="1418" w:type="dxa"/>
            <w:shd w:val="clear" w:color="auto" w:fill="002060"/>
            <w:noWrap/>
            <w:hideMark/>
          </w:tcPr>
          <w:p w:rsidR="007532DC" w:rsidRPr="007532DC" w:rsidRDefault="007532DC" w:rsidP="007532DC">
            <w:pPr>
              <w:spacing w:line="259" w:lineRule="auto"/>
              <w:rPr>
                <w:rFonts w:ascii="Arial" w:eastAsia="Calibri" w:hAnsi="Arial" w:cs="Arial"/>
                <w:sz w:val="18"/>
                <w:szCs w:val="18"/>
              </w:rPr>
            </w:pPr>
            <w:r w:rsidRPr="007532DC">
              <w:rPr>
                <w:rFonts w:ascii="Arial" w:eastAsia="Calibri" w:hAnsi="Arial" w:cs="Arial"/>
                <w:b/>
                <w:bCs/>
                <w:color w:val="FFFFFF"/>
                <w:sz w:val="18"/>
                <w:szCs w:val="18"/>
              </w:rPr>
              <w:t>Executives</w:t>
            </w:r>
          </w:p>
        </w:tc>
        <w:tc>
          <w:tcPr>
            <w:tcW w:w="992" w:type="dxa"/>
            <w:shd w:val="clear" w:color="auto" w:fill="002060"/>
            <w:noWrap/>
            <w:hideMark/>
          </w:tcPr>
          <w:p w:rsidR="007532DC" w:rsidRPr="007532DC" w:rsidRDefault="007532DC" w:rsidP="007532DC">
            <w:pPr>
              <w:spacing w:line="259"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Pr="007532DC">
              <w:rPr>
                <w:rFonts w:ascii="Arial" w:eastAsia="Calibri" w:hAnsi="Arial" w:cs="Arial"/>
                <w:b/>
                <w:bCs/>
                <w:color w:val="FFFFFF"/>
                <w:sz w:val="18"/>
                <w:szCs w:val="18"/>
              </w:rPr>
              <w:t>Basic</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418"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(b) </w:t>
            </w:r>
            <w:r w:rsidRPr="007532DC">
              <w:rPr>
                <w:rFonts w:ascii="Arial" w:eastAsia="Calibri" w:hAnsi="Arial" w:cs="Arial"/>
                <w:b/>
                <w:bCs/>
                <w:sz w:val="18"/>
                <w:szCs w:val="18"/>
              </w:rPr>
              <w:t>Provident Fund and Risk Benefit Contributions</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275"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(c) </w:t>
            </w:r>
            <w:r w:rsidRPr="007532DC">
              <w:rPr>
                <w:rFonts w:ascii="Arial" w:eastAsia="Calibri" w:hAnsi="Arial" w:cs="Arial"/>
                <w:b/>
                <w:bCs/>
                <w:sz w:val="18"/>
                <w:szCs w:val="18"/>
              </w:rPr>
              <w:t>Travel Allowance</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418"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(d) </w:t>
            </w:r>
            <w:r w:rsidRPr="007532DC">
              <w:rPr>
                <w:rFonts w:ascii="Arial" w:eastAsia="Calibri" w:hAnsi="Arial" w:cs="Arial"/>
                <w:b/>
                <w:bCs/>
                <w:sz w:val="18"/>
                <w:szCs w:val="18"/>
              </w:rPr>
              <w:t>Cellphone Allowance</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701"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(e)</w:t>
            </w:r>
            <w:r w:rsidRPr="007532DC">
              <w:rPr>
                <w:rFonts w:ascii="Arial" w:eastAsia="Calibri" w:hAnsi="Arial" w:cs="Arial"/>
                <w:b/>
                <w:bCs/>
                <w:sz w:val="18"/>
                <w:szCs w:val="18"/>
              </w:rPr>
              <w:t>Performance Bonus</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276" w:type="dxa"/>
            <w:shd w:val="clear" w:color="auto" w:fill="002060"/>
            <w:noWrap/>
            <w:hideMark/>
          </w:tcPr>
          <w:p w:rsidR="007532DC" w:rsidRPr="007532DC" w:rsidRDefault="007532DC" w:rsidP="007532DC">
            <w:pPr>
              <w:spacing w:line="259" w:lineRule="auto"/>
              <w:jc w:val="center"/>
              <w:rPr>
                <w:rFonts w:ascii="Arial" w:eastAsia="Calibri" w:hAnsi="Arial" w:cs="Arial"/>
                <w:b/>
                <w:bCs/>
                <w:color w:val="FFFFFF"/>
                <w:sz w:val="18"/>
                <w:szCs w:val="18"/>
              </w:rPr>
            </w:pPr>
            <w:r w:rsidRPr="007532DC">
              <w:rPr>
                <w:rFonts w:ascii="Arial" w:eastAsia="Calibri" w:hAnsi="Arial" w:cs="Arial"/>
                <w:b/>
                <w:bCs/>
                <w:color w:val="FFFFFF"/>
                <w:sz w:val="18"/>
                <w:szCs w:val="18"/>
              </w:rPr>
              <w:t>Total</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r>
      <w:tr w:rsidR="003A3AFE" w:rsidRPr="007532DC" w:rsidTr="007B349E">
        <w:trPr>
          <w:trHeight w:val="793"/>
        </w:trPr>
        <w:tc>
          <w:tcPr>
            <w:tcW w:w="1418" w:type="dxa"/>
            <w:shd w:val="clear" w:color="auto" w:fill="auto"/>
            <w:noWrap/>
            <w:vAlign w:val="center"/>
            <w:hideMark/>
          </w:tcPr>
          <w:p w:rsidR="003A3AFE" w:rsidRPr="007532DC" w:rsidRDefault="003A3AFE" w:rsidP="003A3AFE">
            <w:pPr>
              <w:pStyle w:val="ListParagraph"/>
              <w:numPr>
                <w:ilvl w:val="0"/>
                <w:numId w:val="30"/>
              </w:numPr>
              <w:spacing w:line="259" w:lineRule="auto"/>
              <w:ind w:left="321" w:hanging="321"/>
              <w:jc w:val="both"/>
              <w:rPr>
                <w:rFonts w:ascii="Arial" w:eastAsia="Calibri" w:hAnsi="Arial" w:cs="Arial"/>
                <w:sz w:val="18"/>
                <w:szCs w:val="18"/>
              </w:rPr>
            </w:pPr>
            <w:r>
              <w:rPr>
                <w:rFonts w:ascii="Arial" w:eastAsia="Calibri" w:hAnsi="Arial" w:cs="Arial"/>
                <w:sz w:val="18"/>
                <w:szCs w:val="18"/>
              </w:rPr>
              <w:t>Company Secretary</w:t>
            </w:r>
          </w:p>
        </w:tc>
        <w:tc>
          <w:tcPr>
            <w:tcW w:w="992"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1 607</w:t>
            </w:r>
          </w:p>
        </w:tc>
        <w:tc>
          <w:tcPr>
            <w:tcW w:w="1418"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232</w:t>
            </w:r>
          </w:p>
        </w:tc>
        <w:tc>
          <w:tcPr>
            <w:tcW w:w="1275"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w:t>
            </w:r>
          </w:p>
        </w:tc>
        <w:tc>
          <w:tcPr>
            <w:tcW w:w="1418"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48</w:t>
            </w:r>
          </w:p>
        </w:tc>
        <w:tc>
          <w:tcPr>
            <w:tcW w:w="1701"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611</w:t>
            </w:r>
          </w:p>
        </w:tc>
        <w:tc>
          <w:tcPr>
            <w:tcW w:w="1276" w:type="dxa"/>
            <w:shd w:val="clear" w:color="auto" w:fill="auto"/>
            <w:noWrap/>
            <w:vAlign w:val="center"/>
            <w:hideMark/>
          </w:tcPr>
          <w:p w:rsidR="003A3AFE" w:rsidRPr="00A57832" w:rsidRDefault="003A3AFE" w:rsidP="003A3AFE">
            <w:pPr>
              <w:spacing w:line="259" w:lineRule="auto"/>
              <w:jc w:val="center"/>
              <w:rPr>
                <w:rFonts w:ascii="Arial" w:eastAsia="Calibri" w:hAnsi="Arial" w:cs="Arial"/>
                <w:sz w:val="18"/>
                <w:szCs w:val="18"/>
              </w:rPr>
            </w:pPr>
            <w:r>
              <w:rPr>
                <w:rFonts w:ascii="Arial" w:eastAsia="Calibri" w:hAnsi="Arial" w:cs="Arial"/>
                <w:b/>
                <w:bCs/>
                <w:sz w:val="18"/>
                <w:szCs w:val="18"/>
              </w:rPr>
              <w:t>2 498</w:t>
            </w:r>
          </w:p>
        </w:tc>
      </w:tr>
      <w:tr w:rsidR="003A3AFE" w:rsidRPr="007532DC" w:rsidTr="007B349E">
        <w:trPr>
          <w:trHeight w:val="793"/>
        </w:trPr>
        <w:tc>
          <w:tcPr>
            <w:tcW w:w="1418" w:type="dxa"/>
            <w:shd w:val="clear" w:color="auto" w:fill="auto"/>
            <w:noWrap/>
            <w:vAlign w:val="center"/>
            <w:hideMark/>
          </w:tcPr>
          <w:p w:rsidR="003A3AFE" w:rsidRPr="007532DC" w:rsidRDefault="003A3AFE" w:rsidP="003A3AFE">
            <w:pPr>
              <w:pStyle w:val="ListParagraph"/>
              <w:numPr>
                <w:ilvl w:val="0"/>
                <w:numId w:val="30"/>
              </w:numPr>
              <w:spacing w:line="259" w:lineRule="auto"/>
              <w:ind w:left="321" w:hanging="321"/>
              <w:jc w:val="both"/>
              <w:rPr>
                <w:rFonts w:ascii="Arial" w:eastAsia="Calibri" w:hAnsi="Arial" w:cs="Arial"/>
                <w:sz w:val="18"/>
                <w:szCs w:val="18"/>
              </w:rPr>
            </w:pPr>
            <w:r w:rsidRPr="002F1EFA">
              <w:rPr>
                <w:rFonts w:ascii="Arial" w:eastAsia="Calibri" w:hAnsi="Arial" w:cs="Arial"/>
                <w:sz w:val="18"/>
                <w:szCs w:val="18"/>
              </w:rPr>
              <w:t>Executive:</w:t>
            </w:r>
            <w:r>
              <w:rPr>
                <w:rFonts w:ascii="Arial" w:eastAsia="Calibri" w:hAnsi="Arial" w:cs="Arial"/>
                <w:sz w:val="18"/>
                <w:szCs w:val="18"/>
              </w:rPr>
              <w:t xml:space="preserve"> Corporate Services</w:t>
            </w:r>
          </w:p>
        </w:tc>
        <w:tc>
          <w:tcPr>
            <w:tcW w:w="992"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c>
          <w:tcPr>
            <w:tcW w:w="1418"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c>
          <w:tcPr>
            <w:tcW w:w="1275"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c>
          <w:tcPr>
            <w:tcW w:w="1418"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c>
          <w:tcPr>
            <w:tcW w:w="1701" w:type="dxa"/>
            <w:shd w:val="clear" w:color="auto" w:fill="auto"/>
            <w:noWrap/>
            <w:vAlign w:val="center"/>
            <w:hideMark/>
          </w:tcPr>
          <w:p w:rsidR="003A3AFE" w:rsidRPr="00176E59"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c>
          <w:tcPr>
            <w:tcW w:w="1276" w:type="dxa"/>
            <w:shd w:val="clear" w:color="auto" w:fill="auto"/>
            <w:noWrap/>
            <w:vAlign w:val="center"/>
            <w:hideMark/>
          </w:tcPr>
          <w:p w:rsidR="003A3AFE" w:rsidRPr="00A57832" w:rsidRDefault="003A3AFE" w:rsidP="003A3AFE">
            <w:pPr>
              <w:spacing w:line="259" w:lineRule="auto"/>
              <w:jc w:val="center"/>
              <w:rPr>
                <w:rFonts w:ascii="Arial" w:eastAsia="Calibri" w:hAnsi="Arial" w:cs="Arial"/>
                <w:sz w:val="18"/>
                <w:szCs w:val="18"/>
              </w:rPr>
            </w:pPr>
            <w:r>
              <w:rPr>
                <w:rFonts w:ascii="Arial" w:eastAsia="Calibri" w:hAnsi="Arial" w:cs="Arial"/>
                <w:sz w:val="18"/>
                <w:szCs w:val="18"/>
              </w:rPr>
              <w:t>n/a</w:t>
            </w:r>
          </w:p>
        </w:tc>
      </w:tr>
    </w:tbl>
    <w:p w:rsidR="007532DC" w:rsidRPr="007532DC" w:rsidRDefault="007532DC" w:rsidP="007532DC">
      <w:pPr>
        <w:spacing w:line="259" w:lineRule="auto"/>
        <w:rPr>
          <w:rFonts w:ascii="Arial" w:eastAsia="Calibri" w:hAnsi="Arial" w:cs="Arial"/>
          <w:sz w:val="18"/>
          <w:szCs w:val="18"/>
        </w:rPr>
      </w:pPr>
    </w:p>
    <w:p w:rsidR="007532DC" w:rsidRPr="007532DC" w:rsidRDefault="007532DC" w:rsidP="000467B3">
      <w:pPr>
        <w:spacing w:line="259" w:lineRule="auto"/>
        <w:rPr>
          <w:rFonts w:ascii="Arial" w:eastAsia="Calibri" w:hAnsi="Arial" w:cs="Arial"/>
          <w:b/>
          <w:bCs/>
          <w:szCs w:val="18"/>
        </w:rPr>
      </w:pPr>
      <w:bookmarkStart w:id="1" w:name="_Hlk113028611"/>
      <w:r w:rsidRPr="007532DC">
        <w:rPr>
          <w:rFonts w:ascii="Arial" w:eastAsia="Calibri" w:hAnsi="Arial" w:cs="Arial"/>
          <w:b/>
          <w:bCs/>
          <w:szCs w:val="18"/>
        </w:rPr>
        <w:t>FINANCIAL YEAR: 2021/2022</w:t>
      </w:r>
      <w:r w:rsidR="000467B3">
        <w:rPr>
          <w:rFonts w:ascii="Arial" w:eastAsia="Calibri" w:hAnsi="Arial" w:cs="Arial"/>
          <w:b/>
          <w:bCs/>
          <w:szCs w:val="18"/>
        </w:rPr>
        <w:t xml:space="preserve"> (cc)</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991"/>
        <w:gridCol w:w="1430"/>
        <w:gridCol w:w="1133"/>
        <w:gridCol w:w="1348"/>
        <w:gridCol w:w="1574"/>
        <w:gridCol w:w="1216"/>
        <w:gridCol w:w="919"/>
      </w:tblGrid>
      <w:tr w:rsidR="008F4434" w:rsidRPr="007532DC" w:rsidTr="008F4434">
        <w:trPr>
          <w:trHeight w:val="879"/>
        </w:trPr>
        <w:tc>
          <w:tcPr>
            <w:tcW w:w="700" w:type="pct"/>
            <w:shd w:val="clear" w:color="auto" w:fill="002060"/>
            <w:noWrap/>
            <w:hideMark/>
          </w:tcPr>
          <w:bookmarkEnd w:id="1"/>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color w:val="FFFFFF"/>
                <w:sz w:val="18"/>
                <w:szCs w:val="18"/>
              </w:rPr>
              <w:t>Executives</w:t>
            </w:r>
          </w:p>
        </w:tc>
        <w:tc>
          <w:tcPr>
            <w:tcW w:w="495" w:type="pct"/>
            <w:shd w:val="clear" w:color="auto" w:fill="002060"/>
            <w:noWrap/>
            <w:hideMark/>
          </w:tcPr>
          <w:p w:rsidR="007532DC" w:rsidRPr="007532DC" w:rsidRDefault="000467B3" w:rsidP="007532DC">
            <w:pPr>
              <w:spacing w:line="259"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007532DC" w:rsidRPr="007532DC">
              <w:rPr>
                <w:rFonts w:ascii="Arial" w:eastAsia="Calibri" w:hAnsi="Arial" w:cs="Arial"/>
                <w:b/>
                <w:bCs/>
                <w:color w:val="FFFFFF"/>
                <w:sz w:val="18"/>
                <w:szCs w:val="18"/>
              </w:rPr>
              <w:t>Basic</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714"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(b)</w:t>
            </w:r>
            <w:r w:rsidR="007532DC" w:rsidRPr="007532DC">
              <w:rPr>
                <w:rFonts w:ascii="Arial" w:eastAsia="Calibri" w:hAnsi="Arial" w:cs="Arial"/>
                <w:b/>
                <w:bCs/>
                <w:sz w:val="18"/>
                <w:szCs w:val="18"/>
              </w:rPr>
              <w:t>Provident Fund and Risk Benefit Contributions</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566"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(c)</w:t>
            </w:r>
            <w:r w:rsidR="007532DC" w:rsidRPr="007532DC">
              <w:rPr>
                <w:rFonts w:ascii="Arial" w:eastAsia="Calibri" w:hAnsi="Arial" w:cs="Arial"/>
                <w:b/>
                <w:bCs/>
                <w:sz w:val="18"/>
                <w:szCs w:val="18"/>
              </w:rPr>
              <w:t>Travel Allowance</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673"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(d)</w:t>
            </w:r>
            <w:r w:rsidR="007532DC" w:rsidRPr="007532DC">
              <w:rPr>
                <w:rFonts w:ascii="Arial" w:eastAsia="Calibri" w:hAnsi="Arial" w:cs="Arial"/>
                <w:b/>
                <w:bCs/>
                <w:sz w:val="18"/>
                <w:szCs w:val="18"/>
              </w:rPr>
              <w:t>Cellphone Allowance</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786"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(e)</w:t>
            </w:r>
            <w:r w:rsidR="007532DC" w:rsidRPr="007532DC">
              <w:rPr>
                <w:rFonts w:ascii="Arial" w:eastAsia="Calibri" w:hAnsi="Arial" w:cs="Arial"/>
                <w:b/>
                <w:bCs/>
                <w:sz w:val="18"/>
                <w:szCs w:val="18"/>
              </w:rPr>
              <w:t>Performance Bonus</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607" w:type="pct"/>
            <w:shd w:val="clear" w:color="auto" w:fill="002060"/>
            <w:hideMark/>
          </w:tcPr>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sz w:val="18"/>
                <w:szCs w:val="18"/>
              </w:rPr>
              <w:t>Other Allowances</w:t>
            </w:r>
          </w:p>
        </w:tc>
        <w:tc>
          <w:tcPr>
            <w:tcW w:w="459" w:type="pct"/>
            <w:shd w:val="clear" w:color="auto" w:fill="002060"/>
            <w:hideMark/>
          </w:tcPr>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sz w:val="18"/>
                <w:szCs w:val="18"/>
              </w:rPr>
              <w:t>Total 2022</w:t>
            </w:r>
          </w:p>
        </w:tc>
      </w:tr>
      <w:tr w:rsidR="008F4434" w:rsidRPr="007532DC" w:rsidTr="008F4434">
        <w:trPr>
          <w:trHeight w:val="586"/>
        </w:trPr>
        <w:tc>
          <w:tcPr>
            <w:tcW w:w="700" w:type="pct"/>
            <w:shd w:val="clear" w:color="auto" w:fill="auto"/>
            <w:vAlign w:val="center"/>
            <w:hideMark/>
          </w:tcPr>
          <w:p w:rsidR="008F4434" w:rsidRPr="000467B3" w:rsidRDefault="008F4434" w:rsidP="008F4434">
            <w:pPr>
              <w:pStyle w:val="ListParagraph"/>
              <w:numPr>
                <w:ilvl w:val="0"/>
                <w:numId w:val="31"/>
              </w:numPr>
              <w:spacing w:line="259" w:lineRule="auto"/>
              <w:ind w:left="321" w:hanging="321"/>
              <w:rPr>
                <w:rFonts w:ascii="Arial" w:eastAsia="Calibri" w:hAnsi="Arial" w:cs="Arial"/>
                <w:sz w:val="18"/>
                <w:szCs w:val="18"/>
              </w:rPr>
            </w:pPr>
            <w:r>
              <w:rPr>
                <w:rFonts w:ascii="Arial" w:eastAsia="Calibri" w:hAnsi="Arial" w:cs="Arial"/>
                <w:sz w:val="18"/>
                <w:szCs w:val="18"/>
              </w:rPr>
              <w:t>Company Secretary</w:t>
            </w:r>
          </w:p>
        </w:tc>
        <w:tc>
          <w:tcPr>
            <w:tcW w:w="495"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1 980</w:t>
            </w:r>
          </w:p>
        </w:tc>
        <w:tc>
          <w:tcPr>
            <w:tcW w:w="714"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305</w:t>
            </w:r>
          </w:p>
        </w:tc>
        <w:tc>
          <w:tcPr>
            <w:tcW w:w="566"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w:t>
            </w:r>
          </w:p>
        </w:tc>
        <w:tc>
          <w:tcPr>
            <w:tcW w:w="673"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48</w:t>
            </w:r>
          </w:p>
        </w:tc>
        <w:tc>
          <w:tcPr>
            <w:tcW w:w="786"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638</w:t>
            </w:r>
          </w:p>
        </w:tc>
        <w:tc>
          <w:tcPr>
            <w:tcW w:w="607"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247</w:t>
            </w:r>
          </w:p>
        </w:tc>
        <w:tc>
          <w:tcPr>
            <w:tcW w:w="459" w:type="pct"/>
            <w:shd w:val="clear" w:color="auto" w:fill="auto"/>
            <w:vAlign w:val="center"/>
            <w:hideMark/>
          </w:tcPr>
          <w:p w:rsidR="008F4434" w:rsidRPr="008F4434" w:rsidRDefault="008F4434" w:rsidP="008F4434">
            <w:pPr>
              <w:spacing w:line="259" w:lineRule="auto"/>
              <w:jc w:val="center"/>
              <w:rPr>
                <w:rFonts w:ascii="Arial" w:eastAsia="Calibri" w:hAnsi="Arial" w:cs="Arial"/>
                <w:b/>
                <w:sz w:val="18"/>
                <w:szCs w:val="18"/>
              </w:rPr>
            </w:pPr>
            <w:r w:rsidRPr="008F4434">
              <w:rPr>
                <w:rFonts w:ascii="Arial" w:eastAsia="Calibri" w:hAnsi="Arial" w:cs="Arial"/>
                <w:b/>
                <w:sz w:val="18"/>
                <w:szCs w:val="18"/>
              </w:rPr>
              <w:t>3 218</w:t>
            </w:r>
          </w:p>
        </w:tc>
      </w:tr>
      <w:tr w:rsidR="008F4434" w:rsidRPr="007532DC" w:rsidTr="008F4434">
        <w:trPr>
          <w:trHeight w:val="586"/>
        </w:trPr>
        <w:tc>
          <w:tcPr>
            <w:tcW w:w="700" w:type="pct"/>
            <w:shd w:val="clear" w:color="auto" w:fill="auto"/>
            <w:vAlign w:val="center"/>
            <w:hideMark/>
          </w:tcPr>
          <w:p w:rsidR="008F4434" w:rsidRPr="00731540" w:rsidRDefault="008F4434" w:rsidP="008F4434">
            <w:pPr>
              <w:pStyle w:val="ListParagraph"/>
              <w:numPr>
                <w:ilvl w:val="0"/>
                <w:numId w:val="31"/>
              </w:numPr>
              <w:spacing w:line="259" w:lineRule="auto"/>
              <w:ind w:left="321" w:hanging="341"/>
              <w:rPr>
                <w:rFonts w:ascii="Arial" w:eastAsia="Calibri" w:hAnsi="Arial" w:cs="Arial"/>
                <w:sz w:val="18"/>
                <w:szCs w:val="18"/>
              </w:rPr>
            </w:pPr>
            <w:r w:rsidRPr="002F1EFA">
              <w:rPr>
                <w:rFonts w:ascii="Arial" w:eastAsia="Calibri" w:hAnsi="Arial" w:cs="Arial"/>
                <w:sz w:val="18"/>
                <w:szCs w:val="18"/>
              </w:rPr>
              <w:t>Executive:</w:t>
            </w:r>
            <w:r>
              <w:rPr>
                <w:rFonts w:ascii="Arial" w:eastAsia="Calibri" w:hAnsi="Arial" w:cs="Arial"/>
                <w:sz w:val="18"/>
                <w:szCs w:val="18"/>
              </w:rPr>
              <w:t xml:space="preserve"> Corporate Services</w:t>
            </w:r>
          </w:p>
        </w:tc>
        <w:tc>
          <w:tcPr>
            <w:tcW w:w="495"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714"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566"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673"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786"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607" w:type="pct"/>
            <w:shd w:val="clear" w:color="auto" w:fill="auto"/>
            <w:vAlign w:val="center"/>
            <w:hideMark/>
          </w:tcPr>
          <w:p w:rsidR="008F4434" w:rsidRPr="00960588" w:rsidRDefault="008F4434" w:rsidP="008F4434">
            <w:pPr>
              <w:spacing w:line="259" w:lineRule="auto"/>
              <w:ind w:left="250"/>
              <w:jc w:val="center"/>
              <w:rPr>
                <w:rFonts w:ascii="Arial" w:eastAsia="Calibri" w:hAnsi="Arial" w:cs="Arial"/>
                <w:sz w:val="18"/>
                <w:szCs w:val="18"/>
              </w:rPr>
            </w:pPr>
            <w:r>
              <w:rPr>
                <w:rFonts w:ascii="Arial" w:eastAsia="Calibri" w:hAnsi="Arial" w:cs="Arial"/>
                <w:sz w:val="18"/>
                <w:szCs w:val="18"/>
              </w:rPr>
              <w:t>n/a</w:t>
            </w:r>
          </w:p>
        </w:tc>
        <w:tc>
          <w:tcPr>
            <w:tcW w:w="459" w:type="pct"/>
            <w:shd w:val="clear" w:color="auto" w:fill="auto"/>
            <w:vAlign w:val="center"/>
            <w:hideMark/>
          </w:tcPr>
          <w:p w:rsidR="008F4434" w:rsidRPr="008F4434" w:rsidRDefault="008F4434" w:rsidP="008F4434">
            <w:pPr>
              <w:spacing w:line="259" w:lineRule="auto"/>
              <w:ind w:left="250"/>
              <w:jc w:val="center"/>
              <w:rPr>
                <w:rFonts w:ascii="Arial" w:eastAsia="Calibri" w:hAnsi="Arial" w:cs="Arial"/>
                <w:b/>
                <w:sz w:val="18"/>
                <w:szCs w:val="18"/>
              </w:rPr>
            </w:pPr>
            <w:r w:rsidRPr="008F4434">
              <w:rPr>
                <w:rFonts w:ascii="Arial" w:eastAsia="Calibri" w:hAnsi="Arial" w:cs="Arial"/>
                <w:b/>
                <w:sz w:val="18"/>
                <w:szCs w:val="18"/>
              </w:rPr>
              <w:t>n/a</w:t>
            </w:r>
            <w:r w:rsidR="002C4486">
              <w:rPr>
                <w:rFonts w:ascii="Arial" w:eastAsia="Calibri" w:hAnsi="Arial" w:cs="Arial"/>
                <w:b/>
                <w:sz w:val="18"/>
                <w:szCs w:val="18"/>
              </w:rPr>
              <w:t>”</w:t>
            </w:r>
          </w:p>
        </w:tc>
      </w:tr>
    </w:tbl>
    <w:p w:rsidR="00C8544C" w:rsidRPr="000467B3" w:rsidRDefault="00C8544C" w:rsidP="000467B3">
      <w:pPr>
        <w:spacing w:after="0" w:line="360" w:lineRule="auto"/>
        <w:jc w:val="both"/>
        <w:rPr>
          <w:rFonts w:ascii="Arial" w:hAnsi="Arial" w:cs="Arial"/>
          <w:bCs/>
          <w:sz w:val="24"/>
          <w:szCs w:val="24"/>
          <w:lang w:val="en-GB"/>
        </w:rPr>
      </w:pPr>
    </w:p>
    <w:p w:rsidR="00BB36A7" w:rsidRDefault="00BB36A7" w:rsidP="002150F1">
      <w:pPr>
        <w:spacing w:after="0" w:line="360" w:lineRule="auto"/>
        <w:ind w:left="567" w:hanging="567"/>
        <w:jc w:val="center"/>
        <w:rPr>
          <w:rFonts w:ascii="Arial" w:hAnsi="Arial" w:cs="Arial"/>
          <w:b/>
          <w:bCs/>
          <w:sz w:val="24"/>
          <w:szCs w:val="24"/>
        </w:rPr>
      </w:pPr>
    </w:p>
    <w:p w:rsidR="00EA5109" w:rsidRPr="000467B3" w:rsidRDefault="00463ACA" w:rsidP="00463ACA">
      <w:pPr>
        <w:spacing w:after="0" w:line="360" w:lineRule="auto"/>
        <w:jc w:val="center"/>
        <w:rPr>
          <w:rFonts w:ascii="Arial" w:eastAsia="Calibri" w:hAnsi="Arial" w:cs="Arial"/>
          <w:sz w:val="24"/>
          <w:szCs w:val="24"/>
        </w:rPr>
      </w:pPr>
      <w:r>
        <w:rPr>
          <w:rFonts w:ascii="Arial" w:hAnsi="Arial" w:cs="Arial"/>
          <w:b/>
          <w:bCs/>
          <w:sz w:val="24"/>
          <w:szCs w:val="24"/>
        </w:rPr>
        <w:t>-END-</w:t>
      </w:r>
      <w:bookmarkStart w:id="2" w:name="_GoBack"/>
      <w:bookmarkEnd w:id="2"/>
    </w:p>
    <w:sectPr w:rsidR="00EA5109" w:rsidRPr="000467B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5D" w:rsidRDefault="00563B5D" w:rsidP="006D054B">
      <w:pPr>
        <w:spacing w:after="0" w:line="240" w:lineRule="auto"/>
      </w:pPr>
      <w:r>
        <w:separator/>
      </w:r>
    </w:p>
  </w:endnote>
  <w:endnote w:type="continuationSeparator" w:id="0">
    <w:p w:rsidR="00563B5D" w:rsidRDefault="00563B5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6C6820">
        <w:pPr>
          <w:pStyle w:val="Footer"/>
          <w:jc w:val="center"/>
        </w:pPr>
        <w:r>
          <w:fldChar w:fldCharType="begin"/>
        </w:r>
        <w:r w:rsidR="00C90387">
          <w:instrText xml:space="preserve"> PAGE   \* MERGEFORMAT </w:instrText>
        </w:r>
        <w:r>
          <w:fldChar w:fldCharType="separate"/>
        </w:r>
        <w:r w:rsidR="00563B5D">
          <w:rPr>
            <w:noProof/>
          </w:rPr>
          <w:t>1</w:t>
        </w:r>
        <w:r>
          <w:rPr>
            <w:noProof/>
          </w:rPr>
          <w:fldChar w:fldCharType="end"/>
        </w:r>
      </w:p>
    </w:sdtContent>
  </w:sdt>
  <w:p w:rsidR="00C90387" w:rsidRDefault="00B70823" w:rsidP="00C90387">
    <w:pPr>
      <w:pStyle w:val="Footer"/>
      <w:jc w:val="center"/>
    </w:pPr>
    <w:r>
      <w:t>Parliamentary Question</w:t>
    </w:r>
    <w:r w:rsidR="007B349E">
      <w:t>: NA PQ 2446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5D" w:rsidRDefault="00563B5D" w:rsidP="006D054B">
      <w:pPr>
        <w:spacing w:after="0" w:line="240" w:lineRule="auto"/>
      </w:pPr>
      <w:r>
        <w:separator/>
      </w:r>
    </w:p>
  </w:footnote>
  <w:footnote w:type="continuationSeparator" w:id="0">
    <w:p w:rsidR="00563B5D" w:rsidRDefault="00563B5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E827C4" w:rsidRDefault="00E827C4"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C2F3B"/>
    <w:multiLevelType w:val="hybridMultilevel"/>
    <w:tmpl w:val="8AD0F614"/>
    <w:lvl w:ilvl="0" w:tplc="7B52802C">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C7A56"/>
    <w:multiLevelType w:val="hybridMultilevel"/>
    <w:tmpl w:val="30408C74"/>
    <w:lvl w:ilvl="0" w:tplc="48F8D91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644729D"/>
    <w:multiLevelType w:val="hybridMultilevel"/>
    <w:tmpl w:val="510CB5F8"/>
    <w:lvl w:ilvl="0" w:tplc="1F06AD06">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2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5"/>
  </w:num>
  <w:num w:numId="8">
    <w:abstractNumId w:val="22"/>
  </w:num>
  <w:num w:numId="9">
    <w:abstractNumId w:val="17"/>
  </w:num>
  <w:num w:numId="10">
    <w:abstractNumId w:val="0"/>
  </w:num>
  <w:num w:numId="11">
    <w:abstractNumId w:val="13"/>
  </w:num>
  <w:num w:numId="12">
    <w:abstractNumId w:val="19"/>
  </w:num>
  <w:num w:numId="13">
    <w:abstractNumId w:val="25"/>
  </w:num>
  <w:num w:numId="14">
    <w:abstractNumId w:val="11"/>
  </w:num>
  <w:num w:numId="15">
    <w:abstractNumId w:val="3"/>
  </w:num>
  <w:num w:numId="16">
    <w:abstractNumId w:val="12"/>
  </w:num>
  <w:num w:numId="17">
    <w:abstractNumId w:val="21"/>
  </w:num>
  <w:num w:numId="18">
    <w:abstractNumId w:val="15"/>
  </w:num>
  <w:num w:numId="19">
    <w:abstractNumId w:val="20"/>
  </w:num>
  <w:num w:numId="20">
    <w:abstractNumId w:val="1"/>
  </w:num>
  <w:num w:numId="21">
    <w:abstractNumId w:val="23"/>
  </w:num>
  <w:num w:numId="22">
    <w:abstractNumId w:val="10"/>
  </w:num>
  <w:num w:numId="23">
    <w:abstractNumId w:val="14"/>
  </w:num>
  <w:num w:numId="24">
    <w:abstractNumId w:val="8"/>
  </w:num>
  <w:num w:numId="25">
    <w:abstractNumId w:val="9"/>
  </w:num>
  <w:num w:numId="26">
    <w:abstractNumId w:val="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34E3A"/>
    <w:rsid w:val="00041805"/>
    <w:rsid w:val="000467B3"/>
    <w:rsid w:val="00046D78"/>
    <w:rsid w:val="00055A80"/>
    <w:rsid w:val="0006536D"/>
    <w:rsid w:val="00071E10"/>
    <w:rsid w:val="000B0517"/>
    <w:rsid w:val="000B2DB1"/>
    <w:rsid w:val="000C3EDB"/>
    <w:rsid w:val="000C4638"/>
    <w:rsid w:val="000D3BB4"/>
    <w:rsid w:val="000D608B"/>
    <w:rsid w:val="00122C57"/>
    <w:rsid w:val="00130895"/>
    <w:rsid w:val="0016019E"/>
    <w:rsid w:val="001602E3"/>
    <w:rsid w:val="00172E12"/>
    <w:rsid w:val="00176749"/>
    <w:rsid w:val="00182352"/>
    <w:rsid w:val="001877AA"/>
    <w:rsid w:val="0019258D"/>
    <w:rsid w:val="00197D18"/>
    <w:rsid w:val="001A33E4"/>
    <w:rsid w:val="001A4E90"/>
    <w:rsid w:val="001F0265"/>
    <w:rsid w:val="00212F7F"/>
    <w:rsid w:val="002150F1"/>
    <w:rsid w:val="0021580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B3D19"/>
    <w:rsid w:val="002C1B9E"/>
    <w:rsid w:val="002C4486"/>
    <w:rsid w:val="002D0830"/>
    <w:rsid w:val="002D69F4"/>
    <w:rsid w:val="00301F58"/>
    <w:rsid w:val="0031644A"/>
    <w:rsid w:val="00332C21"/>
    <w:rsid w:val="00351BDA"/>
    <w:rsid w:val="003632E6"/>
    <w:rsid w:val="003748CF"/>
    <w:rsid w:val="00383F6C"/>
    <w:rsid w:val="00385BF1"/>
    <w:rsid w:val="003A3726"/>
    <w:rsid w:val="003A3AFE"/>
    <w:rsid w:val="003B2450"/>
    <w:rsid w:val="003C5DAD"/>
    <w:rsid w:val="003D6475"/>
    <w:rsid w:val="003E29AF"/>
    <w:rsid w:val="00402C36"/>
    <w:rsid w:val="00405055"/>
    <w:rsid w:val="00414059"/>
    <w:rsid w:val="00414E30"/>
    <w:rsid w:val="00431C51"/>
    <w:rsid w:val="00437E8B"/>
    <w:rsid w:val="004469F4"/>
    <w:rsid w:val="00463ACA"/>
    <w:rsid w:val="00484CF4"/>
    <w:rsid w:val="00493614"/>
    <w:rsid w:val="004B2BE0"/>
    <w:rsid w:val="004C432F"/>
    <w:rsid w:val="004D0F02"/>
    <w:rsid w:val="004E2E71"/>
    <w:rsid w:val="004F429F"/>
    <w:rsid w:val="004F6E62"/>
    <w:rsid w:val="00510BCB"/>
    <w:rsid w:val="0051724E"/>
    <w:rsid w:val="00521961"/>
    <w:rsid w:val="00522CB2"/>
    <w:rsid w:val="00526B52"/>
    <w:rsid w:val="00532838"/>
    <w:rsid w:val="005401FB"/>
    <w:rsid w:val="00546254"/>
    <w:rsid w:val="0054791A"/>
    <w:rsid w:val="005624DD"/>
    <w:rsid w:val="00563B5D"/>
    <w:rsid w:val="00567F57"/>
    <w:rsid w:val="00575A3A"/>
    <w:rsid w:val="00597203"/>
    <w:rsid w:val="005A5FEE"/>
    <w:rsid w:val="005C3727"/>
    <w:rsid w:val="005D2ED9"/>
    <w:rsid w:val="005D3B6A"/>
    <w:rsid w:val="005E30FD"/>
    <w:rsid w:val="00622A03"/>
    <w:rsid w:val="00624740"/>
    <w:rsid w:val="00640078"/>
    <w:rsid w:val="006420D0"/>
    <w:rsid w:val="006445D1"/>
    <w:rsid w:val="00645029"/>
    <w:rsid w:val="00645F45"/>
    <w:rsid w:val="006847A1"/>
    <w:rsid w:val="006932B2"/>
    <w:rsid w:val="00694349"/>
    <w:rsid w:val="006B0FE2"/>
    <w:rsid w:val="006B1132"/>
    <w:rsid w:val="006C6820"/>
    <w:rsid w:val="006C6F31"/>
    <w:rsid w:val="006D054B"/>
    <w:rsid w:val="006E5CFB"/>
    <w:rsid w:val="00707C88"/>
    <w:rsid w:val="0072078E"/>
    <w:rsid w:val="00731540"/>
    <w:rsid w:val="007477F1"/>
    <w:rsid w:val="007532DC"/>
    <w:rsid w:val="00761225"/>
    <w:rsid w:val="0078637F"/>
    <w:rsid w:val="00792751"/>
    <w:rsid w:val="007B14C3"/>
    <w:rsid w:val="007B349E"/>
    <w:rsid w:val="007B412F"/>
    <w:rsid w:val="007B7DA8"/>
    <w:rsid w:val="007D1596"/>
    <w:rsid w:val="007D1D58"/>
    <w:rsid w:val="007D2A4F"/>
    <w:rsid w:val="007D3E68"/>
    <w:rsid w:val="007F72FC"/>
    <w:rsid w:val="00803209"/>
    <w:rsid w:val="00833E81"/>
    <w:rsid w:val="00841350"/>
    <w:rsid w:val="008528EA"/>
    <w:rsid w:val="00853BDC"/>
    <w:rsid w:val="00855ABA"/>
    <w:rsid w:val="008634FA"/>
    <w:rsid w:val="00872C8F"/>
    <w:rsid w:val="00892467"/>
    <w:rsid w:val="00894F69"/>
    <w:rsid w:val="008A796E"/>
    <w:rsid w:val="008D06C0"/>
    <w:rsid w:val="008F4434"/>
    <w:rsid w:val="00911828"/>
    <w:rsid w:val="00916351"/>
    <w:rsid w:val="0093226B"/>
    <w:rsid w:val="00936D98"/>
    <w:rsid w:val="009433BE"/>
    <w:rsid w:val="0094388C"/>
    <w:rsid w:val="00961B02"/>
    <w:rsid w:val="00962A53"/>
    <w:rsid w:val="009644E4"/>
    <w:rsid w:val="00970287"/>
    <w:rsid w:val="0099215A"/>
    <w:rsid w:val="009A0FF0"/>
    <w:rsid w:val="009C3E7C"/>
    <w:rsid w:val="009D6756"/>
    <w:rsid w:val="009D6C77"/>
    <w:rsid w:val="009F3102"/>
    <w:rsid w:val="009F4DA1"/>
    <w:rsid w:val="00A01A30"/>
    <w:rsid w:val="00A07951"/>
    <w:rsid w:val="00A1169C"/>
    <w:rsid w:val="00A16D45"/>
    <w:rsid w:val="00A16E10"/>
    <w:rsid w:val="00A1795F"/>
    <w:rsid w:val="00A21156"/>
    <w:rsid w:val="00A33B24"/>
    <w:rsid w:val="00A45093"/>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3BED"/>
    <w:rsid w:val="00B04589"/>
    <w:rsid w:val="00B2231A"/>
    <w:rsid w:val="00B236EF"/>
    <w:rsid w:val="00B263F6"/>
    <w:rsid w:val="00B43F0E"/>
    <w:rsid w:val="00B469B5"/>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CE0971"/>
    <w:rsid w:val="00D3539F"/>
    <w:rsid w:val="00D37942"/>
    <w:rsid w:val="00D410C1"/>
    <w:rsid w:val="00D462DD"/>
    <w:rsid w:val="00D52868"/>
    <w:rsid w:val="00D66290"/>
    <w:rsid w:val="00D722D0"/>
    <w:rsid w:val="00D75E12"/>
    <w:rsid w:val="00D81223"/>
    <w:rsid w:val="00D906CA"/>
    <w:rsid w:val="00D93BDC"/>
    <w:rsid w:val="00D95D80"/>
    <w:rsid w:val="00D97348"/>
    <w:rsid w:val="00DA3835"/>
    <w:rsid w:val="00DD063F"/>
    <w:rsid w:val="00DD60A6"/>
    <w:rsid w:val="00DE45A5"/>
    <w:rsid w:val="00DE4BB9"/>
    <w:rsid w:val="00E44BAD"/>
    <w:rsid w:val="00E554C9"/>
    <w:rsid w:val="00E6096E"/>
    <w:rsid w:val="00E704D6"/>
    <w:rsid w:val="00E76F25"/>
    <w:rsid w:val="00E827C4"/>
    <w:rsid w:val="00E846E6"/>
    <w:rsid w:val="00E900D5"/>
    <w:rsid w:val="00EA2BA8"/>
    <w:rsid w:val="00EA5109"/>
    <w:rsid w:val="00EA6E2E"/>
    <w:rsid w:val="00EE05BB"/>
    <w:rsid w:val="00EE6E0C"/>
    <w:rsid w:val="00EF6351"/>
    <w:rsid w:val="00F04A3B"/>
    <w:rsid w:val="00F065DF"/>
    <w:rsid w:val="00F15796"/>
    <w:rsid w:val="00F32232"/>
    <w:rsid w:val="00F3392B"/>
    <w:rsid w:val="00F51CB8"/>
    <w:rsid w:val="00F55E3D"/>
    <w:rsid w:val="00F671DD"/>
    <w:rsid w:val="00F716B6"/>
    <w:rsid w:val="00F8074E"/>
    <w:rsid w:val="00F807B5"/>
    <w:rsid w:val="00F9020F"/>
    <w:rsid w:val="00F9447A"/>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C0C9-946C-4840-99D4-A67520BF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2022-09-21T07:29:00Z</dcterms:created>
  <dcterms:modified xsi:type="dcterms:W3CDTF">2022-09-21T07:29:00Z</dcterms:modified>
</cp:coreProperties>
</file>