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1475C3"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C601CE">
        <w:rPr>
          <w:rFonts w:eastAsia="Times New Roman"/>
          <w:b/>
          <w:lang w:val="en-GB" w:eastAsia="en-US"/>
        </w:rPr>
        <w:t>44</w:t>
      </w:r>
      <w:r w:rsidR="00363182">
        <w:rPr>
          <w:rFonts w:eastAsia="Times New Roman"/>
          <w:b/>
          <w:lang w:val="en-GB" w:eastAsia="en-US"/>
        </w:rPr>
        <w:t>6</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23</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363182" w:rsidRPr="00D02601" w:rsidRDefault="00363182" w:rsidP="00363182">
      <w:pPr>
        <w:spacing w:before="100" w:beforeAutospacing="1" w:after="100" w:afterAutospacing="1"/>
        <w:ind w:left="720" w:hanging="720"/>
        <w:jc w:val="both"/>
        <w:outlineLvl w:val="0"/>
        <w:rPr>
          <w:b/>
        </w:rPr>
      </w:pPr>
      <w:r w:rsidRPr="00D02601">
        <w:rPr>
          <w:b/>
        </w:rPr>
        <w:t>M</w:t>
      </w:r>
      <w:r>
        <w:rPr>
          <w:b/>
        </w:rPr>
        <w:t>rs A Steyn</w:t>
      </w:r>
      <w:r w:rsidRPr="00D02601">
        <w:rPr>
          <w:b/>
        </w:rPr>
        <w:t xml:space="preserve"> (DA) to ask the Minister of </w:t>
      </w:r>
      <w:r>
        <w:rPr>
          <w:b/>
        </w:rPr>
        <w:t>Human Settlements, Water and Sanitation</w:t>
      </w:r>
      <w:r>
        <w:rPr>
          <w:b/>
        </w:rPr>
        <w:fldChar w:fldCharType="begin"/>
      </w:r>
      <w:r>
        <w:instrText xml:space="preserve"> XE "</w:instrText>
      </w:r>
      <w:r w:rsidRPr="002F0663">
        <w:rPr>
          <w:b/>
        </w:rPr>
        <w:instrText>Human Settlements, Water and Sanitation</w:instrText>
      </w:r>
      <w:r>
        <w:instrText xml:space="preserve">" </w:instrText>
      </w:r>
      <w:r>
        <w:rPr>
          <w:b/>
        </w:rPr>
        <w:fldChar w:fldCharType="end"/>
      </w:r>
      <w:r w:rsidRPr="00D02601">
        <w:rPr>
          <w:b/>
        </w:rPr>
        <w:t>:</w:t>
      </w:r>
    </w:p>
    <w:p w:rsidR="00363182" w:rsidRDefault="00363182" w:rsidP="00363182">
      <w:pPr>
        <w:spacing w:before="100" w:beforeAutospacing="1" w:after="100" w:afterAutospacing="1"/>
        <w:jc w:val="both"/>
        <w:rPr>
          <w:color w:val="001F00"/>
          <w:spacing w:val="6"/>
          <w:sz w:val="20"/>
          <w:szCs w:val="20"/>
        </w:rPr>
      </w:pPr>
      <w:r w:rsidRPr="00193148">
        <w:t xml:space="preserve">What (a) total amount has her department received in appropriations for drought relief measures from the National </w:t>
      </w:r>
      <w:r w:rsidRPr="006C4581">
        <w:rPr>
          <w:lang w:val="en-GB"/>
        </w:rPr>
        <w:t>Treasury</w:t>
      </w:r>
      <w:r w:rsidRPr="00193148">
        <w:t xml:space="preserve"> since 1 April 2016 and (b) are the details of how the drought relief appropriations were used in each case?</w:t>
      </w:r>
      <w:r w:rsidRPr="00193148">
        <w:rPr>
          <w:color w:val="001F00"/>
          <w:spacing w:val="6"/>
        </w:rPr>
        <w:tab/>
      </w:r>
      <w:r w:rsidRPr="00193148">
        <w:rPr>
          <w:color w:val="001F00"/>
          <w:spacing w:val="6"/>
        </w:rPr>
        <w:tab/>
      </w:r>
      <w:r>
        <w:rPr>
          <w:color w:val="001F00"/>
          <w:spacing w:val="6"/>
        </w:rPr>
        <w:tab/>
      </w:r>
      <w:r w:rsidRPr="003F033C">
        <w:rPr>
          <w:color w:val="001F00"/>
          <w:spacing w:val="6"/>
          <w:sz w:val="20"/>
          <w:szCs w:val="20"/>
        </w:rPr>
        <w:t>NW30</w:t>
      </w:r>
      <w:r>
        <w:rPr>
          <w:color w:val="001F00"/>
          <w:spacing w:val="6"/>
          <w:sz w:val="20"/>
          <w:szCs w:val="20"/>
        </w:rPr>
        <w:t>54</w:t>
      </w:r>
      <w:r w:rsidRPr="003F033C">
        <w:rPr>
          <w:color w:val="001F00"/>
          <w:spacing w:val="6"/>
          <w:sz w:val="20"/>
          <w:szCs w:val="20"/>
        </w:rPr>
        <w:t>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951CBE" w:rsidRDefault="00951CBE" w:rsidP="00951CBE">
      <w:pPr>
        <w:jc w:val="both"/>
      </w:pPr>
      <w:r>
        <w:t xml:space="preserve">The total amount received by the Department of Water and Sanitation in appropriations for drought relief measures from the National </w:t>
      </w:r>
      <w:r>
        <w:rPr>
          <w:lang w:val="en-GB"/>
        </w:rPr>
        <w:t>Treasury</w:t>
      </w:r>
      <w:r>
        <w:t xml:space="preserve"> since 1 April 2016 to date is appended as </w:t>
      </w:r>
      <w:r>
        <w:rPr>
          <w:b/>
        </w:rPr>
        <w:t>Annexure A</w:t>
      </w:r>
      <w:r>
        <w:t>. The table below provides a summary:</w:t>
      </w:r>
    </w:p>
    <w:p w:rsidR="00951CBE" w:rsidRDefault="00951CBE" w:rsidP="00951CBE">
      <w:pPr>
        <w:pStyle w:val="ListParagraph"/>
        <w:ind w:left="1276"/>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521"/>
      </w:tblGrid>
      <w:tr w:rsidR="00951CBE" w:rsidTr="00B427CF">
        <w:trPr>
          <w:tblHeader/>
        </w:trPr>
        <w:tc>
          <w:tcPr>
            <w:tcW w:w="2835" w:type="dxa"/>
            <w:tcBorders>
              <w:top w:val="single" w:sz="4" w:space="0" w:color="auto"/>
              <w:left w:val="single" w:sz="4" w:space="0" w:color="auto"/>
              <w:bottom w:val="single" w:sz="4" w:space="0" w:color="auto"/>
              <w:right w:val="single" w:sz="4" w:space="0" w:color="auto"/>
            </w:tcBorders>
            <w:shd w:val="clear" w:color="auto" w:fill="E7E6E6"/>
            <w:hideMark/>
          </w:tcPr>
          <w:p w:rsidR="00951CBE" w:rsidRDefault="00951CBE" w:rsidP="00951CBE">
            <w:pPr>
              <w:pStyle w:val="ListParagraph"/>
              <w:numPr>
                <w:ilvl w:val="0"/>
                <w:numId w:val="18"/>
              </w:numPr>
              <w:ind w:left="311"/>
              <w:jc w:val="both"/>
              <w:rPr>
                <w:b/>
                <w:sz w:val="22"/>
                <w:szCs w:val="22"/>
              </w:rPr>
            </w:pPr>
            <w:r>
              <w:rPr>
                <w:b/>
                <w:sz w:val="22"/>
                <w:szCs w:val="22"/>
              </w:rPr>
              <w:t xml:space="preserve">Total amount received in appropriations for drought relief measures from the National </w:t>
            </w:r>
            <w:r>
              <w:rPr>
                <w:b/>
                <w:sz w:val="22"/>
                <w:szCs w:val="22"/>
                <w:lang w:val="en-GB"/>
              </w:rPr>
              <w:t>Treasury</w:t>
            </w:r>
            <w:r>
              <w:rPr>
                <w:b/>
                <w:sz w:val="22"/>
                <w:szCs w:val="22"/>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E7E6E6"/>
            <w:hideMark/>
          </w:tcPr>
          <w:p w:rsidR="00951CBE" w:rsidRDefault="00951CBE" w:rsidP="00951CBE">
            <w:pPr>
              <w:pStyle w:val="ListParagraph"/>
              <w:numPr>
                <w:ilvl w:val="0"/>
                <w:numId w:val="18"/>
              </w:numPr>
              <w:ind w:left="392"/>
              <w:jc w:val="both"/>
              <w:rPr>
                <w:b/>
                <w:sz w:val="22"/>
                <w:szCs w:val="22"/>
              </w:rPr>
            </w:pPr>
            <w:r>
              <w:rPr>
                <w:b/>
                <w:sz w:val="22"/>
                <w:szCs w:val="22"/>
              </w:rPr>
              <w:t>Details of how the drought relief appropriations were used in each case</w:t>
            </w:r>
          </w:p>
        </w:tc>
      </w:tr>
      <w:tr w:rsidR="00951CBE" w:rsidTr="00951CBE">
        <w:tc>
          <w:tcPr>
            <w:tcW w:w="2835"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 xml:space="preserve">Financial year 2016/17 </w:t>
            </w:r>
          </w:p>
        </w:tc>
        <w:tc>
          <w:tcPr>
            <w:tcW w:w="6521"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No allocation</w:t>
            </w:r>
          </w:p>
        </w:tc>
      </w:tr>
      <w:tr w:rsidR="00951CBE" w:rsidTr="00951CBE">
        <w:tc>
          <w:tcPr>
            <w:tcW w:w="2835"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 xml:space="preserve">Financial year 2017/18 a total of </w:t>
            </w:r>
            <w:r>
              <w:rPr>
                <w:b/>
                <w:sz w:val="22"/>
                <w:szCs w:val="22"/>
              </w:rPr>
              <w:t>R541 </w:t>
            </w:r>
            <w:r>
              <w:rPr>
                <w:sz w:val="22"/>
                <w:szCs w:val="22"/>
              </w:rPr>
              <w:t>million</w:t>
            </w:r>
            <w:r w:rsidR="00E46FD8">
              <w:rPr>
                <w:sz w:val="22"/>
                <w:szCs w:val="22"/>
              </w:rPr>
              <w:t xml:space="preserve"> </w:t>
            </w:r>
            <w:r>
              <w:rPr>
                <w:sz w:val="22"/>
                <w:szCs w:val="22"/>
              </w:rPr>
              <w:t>was allocated</w:t>
            </w:r>
          </w:p>
        </w:tc>
        <w:tc>
          <w:tcPr>
            <w:tcW w:w="6521" w:type="dxa"/>
            <w:tcBorders>
              <w:top w:val="single" w:sz="4" w:space="0" w:color="auto"/>
              <w:left w:val="single" w:sz="4" w:space="0" w:color="auto"/>
              <w:bottom w:val="single" w:sz="4" w:space="0" w:color="auto"/>
              <w:right w:val="single" w:sz="4" w:space="0" w:color="auto"/>
            </w:tcBorders>
          </w:tcPr>
          <w:p w:rsidR="00951CBE" w:rsidRDefault="00951CBE">
            <w:pPr>
              <w:pStyle w:val="ListParagraph"/>
              <w:ind w:left="0"/>
              <w:jc w:val="both"/>
              <w:rPr>
                <w:sz w:val="22"/>
                <w:szCs w:val="22"/>
              </w:rPr>
            </w:pPr>
            <w:r>
              <w:rPr>
                <w:sz w:val="22"/>
                <w:szCs w:val="22"/>
              </w:rPr>
              <w:t>Water tankering</w:t>
            </w:r>
          </w:p>
          <w:p w:rsidR="00951CBE" w:rsidRDefault="00951CBE">
            <w:pPr>
              <w:pStyle w:val="ListParagraph"/>
              <w:ind w:left="0"/>
              <w:jc w:val="both"/>
              <w:rPr>
                <w:sz w:val="22"/>
                <w:szCs w:val="22"/>
              </w:rPr>
            </w:pPr>
          </w:p>
          <w:p w:rsidR="00951CBE" w:rsidRDefault="00951CBE">
            <w:pPr>
              <w:pStyle w:val="ListParagraph"/>
              <w:ind w:left="0"/>
              <w:jc w:val="both"/>
              <w:rPr>
                <w:sz w:val="22"/>
                <w:szCs w:val="22"/>
              </w:rPr>
            </w:pPr>
            <w:r>
              <w:rPr>
                <w:sz w:val="22"/>
                <w:szCs w:val="22"/>
              </w:rPr>
              <w:t>An amount of R500 million was received as additional budget in respect of unforeseeable and unavoidable expenditure for the implementation of:</w:t>
            </w:r>
          </w:p>
          <w:p w:rsidR="00951CBE" w:rsidRDefault="00951CBE" w:rsidP="00951CBE">
            <w:pPr>
              <w:pStyle w:val="ListParagraph"/>
              <w:numPr>
                <w:ilvl w:val="0"/>
                <w:numId w:val="19"/>
              </w:numPr>
              <w:jc w:val="both"/>
              <w:rPr>
                <w:sz w:val="22"/>
                <w:szCs w:val="22"/>
              </w:rPr>
            </w:pPr>
            <w:r>
              <w:rPr>
                <w:sz w:val="22"/>
                <w:szCs w:val="22"/>
              </w:rPr>
              <w:t xml:space="preserve">R200 million for the Butterworth Emergency Water Supply Scheme </w:t>
            </w:r>
          </w:p>
          <w:p w:rsidR="00951CBE" w:rsidRDefault="00951CBE" w:rsidP="00951CBE">
            <w:pPr>
              <w:pStyle w:val="ListParagraph"/>
              <w:numPr>
                <w:ilvl w:val="0"/>
                <w:numId w:val="19"/>
              </w:numPr>
              <w:jc w:val="both"/>
              <w:rPr>
                <w:sz w:val="22"/>
                <w:szCs w:val="22"/>
              </w:rPr>
            </w:pPr>
            <w:r>
              <w:rPr>
                <w:sz w:val="22"/>
                <w:szCs w:val="22"/>
              </w:rPr>
              <w:t xml:space="preserve">R300 million for upgrading the capacity of the Thukela Goudertrouw Transfer Scheme (R300 million). </w:t>
            </w:r>
          </w:p>
          <w:p w:rsidR="00951CBE" w:rsidRDefault="00951CBE">
            <w:pPr>
              <w:pStyle w:val="ListParagraph"/>
              <w:ind w:left="0"/>
              <w:jc w:val="both"/>
              <w:rPr>
                <w:sz w:val="22"/>
                <w:szCs w:val="22"/>
              </w:rPr>
            </w:pPr>
          </w:p>
          <w:p w:rsidR="00951CBE" w:rsidRDefault="00951CBE">
            <w:pPr>
              <w:pStyle w:val="ListParagraph"/>
              <w:ind w:left="0"/>
              <w:jc w:val="both"/>
              <w:rPr>
                <w:sz w:val="22"/>
                <w:szCs w:val="22"/>
              </w:rPr>
            </w:pPr>
            <w:r>
              <w:rPr>
                <w:sz w:val="22"/>
                <w:szCs w:val="22"/>
              </w:rPr>
              <w:t xml:space="preserve">Additional funding was used to address unplanned and unforeseen emergency drought interventions related to the water crisis experienced in Butterworth and Mnquma Local Municipality in the Amathole </w:t>
            </w:r>
            <w:r>
              <w:rPr>
                <w:sz w:val="22"/>
                <w:szCs w:val="22"/>
              </w:rPr>
              <w:lastRenderedPageBreak/>
              <w:t>District. The envisaged interventions entailed the design, construction and commissioning of a raw water rising main between Tsomo River and the catchment area to Xilinxa dam as a short term solution to address the water crisis in Butterworth.</w:t>
            </w:r>
          </w:p>
        </w:tc>
      </w:tr>
      <w:tr w:rsidR="00951CBE" w:rsidTr="00951CBE">
        <w:tc>
          <w:tcPr>
            <w:tcW w:w="2835"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rPr>
                <w:sz w:val="22"/>
                <w:szCs w:val="22"/>
              </w:rPr>
            </w:pPr>
            <w:r>
              <w:rPr>
                <w:sz w:val="22"/>
                <w:szCs w:val="22"/>
              </w:rPr>
              <w:lastRenderedPageBreak/>
              <w:t xml:space="preserve">Financial years 2018/19: </w:t>
            </w:r>
          </w:p>
          <w:p w:rsidR="00951CBE" w:rsidRDefault="00951CBE" w:rsidP="005A272A">
            <w:pPr>
              <w:pStyle w:val="ListParagraph"/>
              <w:ind w:left="0"/>
              <w:rPr>
                <w:sz w:val="22"/>
                <w:szCs w:val="22"/>
              </w:rPr>
            </w:pPr>
            <w:r>
              <w:rPr>
                <w:b/>
                <w:sz w:val="22"/>
                <w:szCs w:val="22"/>
              </w:rPr>
              <w:t>R1 </w:t>
            </w:r>
            <w:r w:rsidR="005A272A">
              <w:rPr>
                <w:b/>
                <w:sz w:val="22"/>
                <w:szCs w:val="22"/>
              </w:rPr>
              <w:t xml:space="preserve"> </w:t>
            </w:r>
            <w:r w:rsidR="005A272A" w:rsidRPr="005A272A">
              <w:rPr>
                <w:sz w:val="22"/>
                <w:szCs w:val="22"/>
              </w:rPr>
              <w:t>bill</w:t>
            </w:r>
            <w:r w:rsidR="005A272A">
              <w:rPr>
                <w:sz w:val="22"/>
                <w:szCs w:val="22"/>
              </w:rPr>
              <w:t>ion</w:t>
            </w:r>
            <w:r>
              <w:rPr>
                <w:sz w:val="22"/>
                <w:szCs w:val="22"/>
              </w:rPr>
              <w:t xml:space="preserve"> was allocated</w:t>
            </w:r>
          </w:p>
        </w:tc>
        <w:tc>
          <w:tcPr>
            <w:tcW w:w="6521"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Conditional grants transferred to municipalities, including water tankering</w:t>
            </w:r>
          </w:p>
        </w:tc>
      </w:tr>
      <w:tr w:rsidR="00951CBE" w:rsidTr="00951CBE">
        <w:tc>
          <w:tcPr>
            <w:tcW w:w="2835"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Financial years 2019/20:</w:t>
            </w:r>
          </w:p>
          <w:p w:rsidR="00951CBE" w:rsidRDefault="00951CBE">
            <w:pPr>
              <w:pStyle w:val="ListParagraph"/>
              <w:ind w:left="0"/>
              <w:jc w:val="both"/>
              <w:rPr>
                <w:sz w:val="22"/>
                <w:szCs w:val="22"/>
              </w:rPr>
            </w:pPr>
            <w:r>
              <w:rPr>
                <w:b/>
                <w:sz w:val="22"/>
                <w:szCs w:val="22"/>
              </w:rPr>
              <w:t>R473 million</w:t>
            </w:r>
            <w:r>
              <w:rPr>
                <w:sz w:val="22"/>
                <w:szCs w:val="22"/>
              </w:rPr>
              <w:t xml:space="preserve"> was allocated</w:t>
            </w:r>
          </w:p>
        </w:tc>
        <w:tc>
          <w:tcPr>
            <w:tcW w:w="6521"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The Schedule 6B allocation of the Regional Bulk Infrastructure Grant (RBIG) and Water Services Infrastructure Grant (WSIG) was earmarked for drought emergency interventions, drilling of new boreholes and resuscitations of old boreholes, water tankering, stock watering and project management fees.</w:t>
            </w:r>
          </w:p>
        </w:tc>
      </w:tr>
      <w:tr w:rsidR="00951CBE" w:rsidTr="00951CBE">
        <w:tc>
          <w:tcPr>
            <w:tcW w:w="2835" w:type="dxa"/>
            <w:tcBorders>
              <w:top w:val="single" w:sz="4" w:space="0" w:color="auto"/>
              <w:left w:val="single" w:sz="4" w:space="0" w:color="auto"/>
              <w:bottom w:val="single" w:sz="4" w:space="0" w:color="auto"/>
              <w:right w:val="single" w:sz="4" w:space="0" w:color="auto"/>
            </w:tcBorders>
            <w:hideMark/>
          </w:tcPr>
          <w:p w:rsidR="00951CBE" w:rsidRDefault="00951CBE">
            <w:pPr>
              <w:pStyle w:val="ListParagraph"/>
              <w:ind w:left="0"/>
              <w:jc w:val="both"/>
              <w:rPr>
                <w:sz w:val="22"/>
                <w:szCs w:val="22"/>
              </w:rPr>
            </w:pPr>
            <w:r>
              <w:rPr>
                <w:sz w:val="22"/>
                <w:szCs w:val="22"/>
              </w:rPr>
              <w:t xml:space="preserve">Financial years 2020/21 a total of </w:t>
            </w:r>
            <w:r>
              <w:rPr>
                <w:b/>
                <w:sz w:val="22"/>
                <w:szCs w:val="22"/>
              </w:rPr>
              <w:t xml:space="preserve">R972 </w:t>
            </w:r>
            <w:r>
              <w:rPr>
                <w:sz w:val="22"/>
                <w:szCs w:val="22"/>
              </w:rPr>
              <w:t xml:space="preserve"> million was allocated</w:t>
            </w:r>
          </w:p>
        </w:tc>
        <w:tc>
          <w:tcPr>
            <w:tcW w:w="6521" w:type="dxa"/>
            <w:tcBorders>
              <w:top w:val="single" w:sz="4" w:space="0" w:color="auto"/>
              <w:left w:val="single" w:sz="4" w:space="0" w:color="auto"/>
              <w:bottom w:val="single" w:sz="4" w:space="0" w:color="auto"/>
              <w:right w:val="single" w:sz="4" w:space="0" w:color="auto"/>
            </w:tcBorders>
          </w:tcPr>
          <w:p w:rsidR="00951CBE" w:rsidRDefault="00951CBE">
            <w:pPr>
              <w:pStyle w:val="ListParagraph"/>
              <w:ind w:left="0"/>
              <w:jc w:val="both"/>
              <w:rPr>
                <w:sz w:val="22"/>
                <w:szCs w:val="22"/>
              </w:rPr>
            </w:pPr>
            <w:r>
              <w:rPr>
                <w:sz w:val="22"/>
                <w:szCs w:val="22"/>
              </w:rPr>
              <w:t>The department has reprioritised the total amount of R666million from both Schedule 6B allocation of the Regional Bulk Infrastructure Grant (RBIG) and Water Services Infrastructure Grant (WSIG) towards drought emergency interventions such as drilling of new boreholes and resuscitations of old boreholes, water tankering, stock watering and project management fees.</w:t>
            </w:r>
          </w:p>
          <w:p w:rsidR="00951CBE" w:rsidRDefault="00951CBE">
            <w:pPr>
              <w:pStyle w:val="ListParagraph"/>
              <w:ind w:left="0"/>
              <w:jc w:val="both"/>
              <w:rPr>
                <w:sz w:val="22"/>
                <w:szCs w:val="22"/>
              </w:rPr>
            </w:pPr>
          </w:p>
          <w:p w:rsidR="00951CBE" w:rsidRDefault="00951CBE">
            <w:pPr>
              <w:pStyle w:val="ListParagraph"/>
              <w:ind w:left="0"/>
              <w:jc w:val="both"/>
              <w:rPr>
                <w:sz w:val="22"/>
                <w:szCs w:val="22"/>
              </w:rPr>
            </w:pPr>
            <w:r>
              <w:rPr>
                <w:sz w:val="22"/>
                <w:szCs w:val="22"/>
              </w:rPr>
              <w:t>The amount of R307 million was conditionally approved by the Minister of Finance, for inclusion in the second Adjustments Appropriation Bill, 2020, as roll-over of unspent funds from the 2019/20 financial year to the 2020/21 financial year for the country-wide COVID-19 and drought emergency interventions. The amount of R307 million is additional budget to the earmarked funds of R666 million towards drought emergency interventions.</w:t>
            </w:r>
          </w:p>
          <w:p w:rsidR="00951CBE" w:rsidRDefault="00951CBE">
            <w:pPr>
              <w:pStyle w:val="ListParagraph"/>
              <w:ind w:left="0"/>
              <w:jc w:val="both"/>
              <w:rPr>
                <w:sz w:val="22"/>
                <w:szCs w:val="22"/>
              </w:rPr>
            </w:pPr>
          </w:p>
          <w:p w:rsidR="00951CBE" w:rsidRDefault="00951CBE">
            <w:pPr>
              <w:pStyle w:val="ListParagraph"/>
              <w:ind w:left="0"/>
              <w:jc w:val="both"/>
              <w:rPr>
                <w:sz w:val="22"/>
                <w:szCs w:val="22"/>
              </w:rPr>
            </w:pPr>
            <w:r>
              <w:rPr>
                <w:sz w:val="22"/>
                <w:szCs w:val="22"/>
              </w:rPr>
              <w:t>The amount of R307 million has been allocated budget to the Northern Cape region through Schedule 6B of the Regional Bulk Infrastructure Grant (RBIG) as part of the presidential commitments made on drought emergency interventions.</w:t>
            </w:r>
          </w:p>
        </w:tc>
      </w:tr>
    </w:tbl>
    <w:p w:rsidR="003405EC" w:rsidRPr="008F76CA" w:rsidRDefault="003405EC" w:rsidP="00951CBE">
      <w:pPr>
        <w:jc w:val="both"/>
        <w:rPr>
          <w:rFonts w:eastAsia="Times New Roman"/>
          <w:lang w:val="en-GB" w:eastAsia="en-US"/>
        </w:rPr>
      </w:pPr>
    </w:p>
    <w:sectPr w:rsidR="003405EC" w:rsidRPr="008F76CA"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62" w:rsidRDefault="00EE2F62" w:rsidP="00DD601E">
      <w:r>
        <w:separator/>
      </w:r>
    </w:p>
  </w:endnote>
  <w:endnote w:type="continuationSeparator" w:id="1">
    <w:p w:rsidR="00EE2F62" w:rsidRDefault="00EE2F62"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62" w:rsidRDefault="00EE2F62" w:rsidP="00DD601E">
      <w:r>
        <w:separator/>
      </w:r>
    </w:p>
  </w:footnote>
  <w:footnote w:type="continuationSeparator" w:id="1">
    <w:p w:rsidR="00EE2F62" w:rsidRDefault="00EE2F62"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C601CE">
      <w:rPr>
        <w:rFonts w:ascii="Times New Roman" w:hAnsi="Times New Roman"/>
        <w:lang w:val="en-US"/>
      </w:rPr>
      <w:t>44</w:t>
    </w:r>
    <w:r w:rsidR="00363182">
      <w:rPr>
        <w:rFonts w:ascii="Times New Roman" w:hAnsi="Times New Roman"/>
        <w:lang w:val="en-US"/>
      </w:rPr>
      <w:t>6</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FA097B"/>
    <w:multiLevelType w:val="hybridMultilevel"/>
    <w:tmpl w:val="C436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CE21809"/>
    <w:multiLevelType w:val="hybridMultilevel"/>
    <w:tmpl w:val="3E7683F2"/>
    <w:lvl w:ilvl="0" w:tplc="D74C07EC">
      <w:start w:val="1"/>
      <w:numFmt w:val="lowerLetter"/>
      <w:lvlText w:val="(%1)"/>
      <w:lvlJc w:val="left"/>
      <w:pPr>
        <w:ind w:left="2521" w:hanging="360"/>
      </w:pPr>
      <w:rPr>
        <w:rFonts w:hint="default"/>
      </w:rPr>
    </w:lvl>
    <w:lvl w:ilvl="1" w:tplc="1C090019" w:tentative="1">
      <w:start w:val="1"/>
      <w:numFmt w:val="lowerLetter"/>
      <w:lvlText w:val="%2."/>
      <w:lvlJc w:val="left"/>
      <w:pPr>
        <w:ind w:left="3241" w:hanging="360"/>
      </w:pPr>
    </w:lvl>
    <w:lvl w:ilvl="2" w:tplc="1C09001B" w:tentative="1">
      <w:start w:val="1"/>
      <w:numFmt w:val="lowerRoman"/>
      <w:lvlText w:val="%3."/>
      <w:lvlJc w:val="right"/>
      <w:pPr>
        <w:ind w:left="3961" w:hanging="180"/>
      </w:pPr>
    </w:lvl>
    <w:lvl w:ilvl="3" w:tplc="1C09000F" w:tentative="1">
      <w:start w:val="1"/>
      <w:numFmt w:val="decimal"/>
      <w:lvlText w:val="%4."/>
      <w:lvlJc w:val="left"/>
      <w:pPr>
        <w:ind w:left="4681" w:hanging="360"/>
      </w:pPr>
    </w:lvl>
    <w:lvl w:ilvl="4" w:tplc="1C090019" w:tentative="1">
      <w:start w:val="1"/>
      <w:numFmt w:val="lowerLetter"/>
      <w:lvlText w:val="%5."/>
      <w:lvlJc w:val="left"/>
      <w:pPr>
        <w:ind w:left="5401" w:hanging="360"/>
      </w:pPr>
    </w:lvl>
    <w:lvl w:ilvl="5" w:tplc="1C09001B" w:tentative="1">
      <w:start w:val="1"/>
      <w:numFmt w:val="lowerRoman"/>
      <w:lvlText w:val="%6."/>
      <w:lvlJc w:val="right"/>
      <w:pPr>
        <w:ind w:left="6121" w:hanging="180"/>
      </w:pPr>
    </w:lvl>
    <w:lvl w:ilvl="6" w:tplc="1C09000F" w:tentative="1">
      <w:start w:val="1"/>
      <w:numFmt w:val="decimal"/>
      <w:lvlText w:val="%7."/>
      <w:lvlJc w:val="left"/>
      <w:pPr>
        <w:ind w:left="6841" w:hanging="360"/>
      </w:pPr>
    </w:lvl>
    <w:lvl w:ilvl="7" w:tplc="1C090019" w:tentative="1">
      <w:start w:val="1"/>
      <w:numFmt w:val="lowerLetter"/>
      <w:lvlText w:val="%8."/>
      <w:lvlJc w:val="left"/>
      <w:pPr>
        <w:ind w:left="7561" w:hanging="360"/>
      </w:pPr>
    </w:lvl>
    <w:lvl w:ilvl="8" w:tplc="1C09001B" w:tentative="1">
      <w:start w:val="1"/>
      <w:numFmt w:val="lowerRoman"/>
      <w:lvlText w:val="%9."/>
      <w:lvlJc w:val="right"/>
      <w:pPr>
        <w:ind w:left="8281" w:hanging="180"/>
      </w:pPr>
    </w:lvl>
  </w:abstractNum>
  <w:abstractNum w:abstractNumId="7">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3"/>
  </w:num>
  <w:num w:numId="5">
    <w:abstractNumId w:val="0"/>
  </w:num>
  <w:num w:numId="6">
    <w:abstractNumId w:val="14"/>
  </w:num>
  <w:num w:numId="7">
    <w:abstractNumId w:val="15"/>
  </w:num>
  <w:num w:numId="8">
    <w:abstractNumId w:val="12"/>
  </w:num>
  <w:num w:numId="9">
    <w:abstractNumId w:val="1"/>
  </w:num>
  <w:num w:numId="10">
    <w:abstractNumId w:val="2"/>
  </w:num>
  <w:num w:numId="11">
    <w:abstractNumId w:val="13"/>
  </w:num>
  <w:num w:numId="12">
    <w:abstractNumId w:val="16"/>
  </w:num>
  <w:num w:numId="13">
    <w:abstractNumId w:val="4"/>
  </w:num>
  <w:num w:numId="14">
    <w:abstractNumId w:val="10"/>
  </w:num>
  <w:num w:numId="15">
    <w:abstractNumId w:val="8"/>
  </w:num>
  <w:num w:numId="16">
    <w:abstractNumId w:val="6"/>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475C3"/>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670BB"/>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9065C"/>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854FB"/>
    <w:rsid w:val="00495D9F"/>
    <w:rsid w:val="004B0CD0"/>
    <w:rsid w:val="004B6ACC"/>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A272A"/>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3418C"/>
    <w:rsid w:val="0074602B"/>
    <w:rsid w:val="00754A9C"/>
    <w:rsid w:val="00770CCC"/>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A0405"/>
    <w:rsid w:val="008B1701"/>
    <w:rsid w:val="008C05E2"/>
    <w:rsid w:val="008C1BC8"/>
    <w:rsid w:val="008C4963"/>
    <w:rsid w:val="008D2239"/>
    <w:rsid w:val="008D55D4"/>
    <w:rsid w:val="008D5A6B"/>
    <w:rsid w:val="008E399D"/>
    <w:rsid w:val="008E7ED7"/>
    <w:rsid w:val="008F2869"/>
    <w:rsid w:val="008F76CA"/>
    <w:rsid w:val="00912136"/>
    <w:rsid w:val="00914949"/>
    <w:rsid w:val="0091562C"/>
    <w:rsid w:val="00916F4A"/>
    <w:rsid w:val="00921425"/>
    <w:rsid w:val="00924324"/>
    <w:rsid w:val="00932EC5"/>
    <w:rsid w:val="009453A8"/>
    <w:rsid w:val="00951CBE"/>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7463"/>
    <w:rsid w:val="00A12877"/>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27CF"/>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C1"/>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08B"/>
    <w:rsid w:val="00DC4A82"/>
    <w:rsid w:val="00DC7309"/>
    <w:rsid w:val="00DD5A82"/>
    <w:rsid w:val="00DD601E"/>
    <w:rsid w:val="00DD6520"/>
    <w:rsid w:val="00DD65EA"/>
    <w:rsid w:val="00DD738B"/>
    <w:rsid w:val="00DE6CA0"/>
    <w:rsid w:val="00DF5E83"/>
    <w:rsid w:val="00DF6A74"/>
    <w:rsid w:val="00E162FE"/>
    <w:rsid w:val="00E2041A"/>
    <w:rsid w:val="00E401B0"/>
    <w:rsid w:val="00E46FD8"/>
    <w:rsid w:val="00E50EE9"/>
    <w:rsid w:val="00E543FB"/>
    <w:rsid w:val="00E560CA"/>
    <w:rsid w:val="00E64FC8"/>
    <w:rsid w:val="00E6796A"/>
    <w:rsid w:val="00E822F8"/>
    <w:rsid w:val="00E874FF"/>
    <w:rsid w:val="00E92B72"/>
    <w:rsid w:val="00E94BFB"/>
    <w:rsid w:val="00E95569"/>
    <w:rsid w:val="00EA305D"/>
    <w:rsid w:val="00EA4033"/>
    <w:rsid w:val="00EA434E"/>
    <w:rsid w:val="00EB2BEF"/>
    <w:rsid w:val="00EC3E5C"/>
    <w:rsid w:val="00EC5A92"/>
    <w:rsid w:val="00EC65A0"/>
    <w:rsid w:val="00EE2F6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table" w:styleId="TableGrid">
    <w:name w:val="Table Grid"/>
    <w:basedOn w:val="TableNormal"/>
    <w:uiPriority w:val="59"/>
    <w:rsid w:val="008F76C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51CBE"/>
    <w:rPr>
      <w:sz w:val="20"/>
      <w:szCs w:val="20"/>
    </w:rPr>
  </w:style>
  <w:style w:type="character" w:customStyle="1" w:styleId="CommentTextChar">
    <w:name w:val="Comment Text Char"/>
    <w:link w:val="CommentText"/>
    <w:uiPriority w:val="99"/>
    <w:semiHidden/>
    <w:rsid w:val="00951CBE"/>
    <w:rPr>
      <w:rFonts w:ascii="Times New Roman" w:hAnsi="Times New Roman"/>
    </w:rPr>
  </w:style>
  <w:style w:type="character" w:styleId="CommentReference">
    <w:name w:val="annotation reference"/>
    <w:uiPriority w:val="99"/>
    <w:semiHidden/>
    <w:unhideWhenUsed/>
    <w:rsid w:val="00951CBE"/>
    <w:rPr>
      <w:sz w:val="16"/>
      <w:szCs w:val="16"/>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 w:id="20367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2020-12-07T17:53:00Z</dcterms:created>
  <dcterms:modified xsi:type="dcterms:W3CDTF">2020-12-07T17:53:00Z</dcterms:modified>
</cp:coreProperties>
</file>