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6D0B55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55" w:rsidRDefault="006D0B55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D0B55" w:rsidRDefault="00B236EF" w:rsidP="00872C8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872C8F" w:rsidRPr="00EC36B6">
        <w:rPr>
          <w:rFonts w:ascii="Arial" w:hAnsi="Arial" w:cs="Arial"/>
          <w:b/>
          <w:sz w:val="24"/>
          <w:szCs w:val="24"/>
        </w:rPr>
        <w:t>2444</w:t>
      </w:r>
    </w:p>
    <w:p w:rsidR="00872C8F" w:rsidRDefault="006D0B55" w:rsidP="00872C8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PUBLISHED: 26 AUGUST 2022</w:t>
      </w:r>
      <w:r w:rsidR="00872C8F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872C8F" w:rsidRPr="00EC36B6" w:rsidRDefault="00872C8F" w:rsidP="00872C8F">
      <w:pPr>
        <w:spacing w:before="100" w:beforeAutospacing="1" w:after="100" w:afterAutospacing="1" w:line="240" w:lineRule="auto"/>
        <w:ind w:right="28"/>
        <w:jc w:val="both"/>
        <w:rPr>
          <w:rFonts w:ascii="Arial" w:hAnsi="Arial" w:cs="Arial"/>
          <w:b/>
          <w:sz w:val="24"/>
          <w:szCs w:val="24"/>
        </w:rPr>
      </w:pPr>
      <w:r w:rsidRPr="00EC36B6">
        <w:rPr>
          <w:rFonts w:ascii="Arial" w:hAnsi="Arial" w:cs="Arial"/>
          <w:b/>
          <w:sz w:val="24"/>
          <w:szCs w:val="24"/>
        </w:rPr>
        <w:t>Mr M J Cuthbert (DA) to ask the Minister of Trade, Industry and Competition:</w:t>
      </w:r>
    </w:p>
    <w:p w:rsidR="00872C8F" w:rsidRPr="00EC36B6" w:rsidRDefault="00872C8F" w:rsidP="007532DC">
      <w:pPr>
        <w:spacing w:before="100" w:beforeAutospacing="1" w:after="100" w:afterAutospacing="1" w:line="276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EC36B6">
        <w:rPr>
          <w:rFonts w:ascii="Arial" w:hAnsi="Arial" w:cs="Arial"/>
          <w:sz w:val="24"/>
          <w:szCs w:val="24"/>
        </w:rPr>
        <w:t xml:space="preserve">What are the details of the (a) basic salary, (b) provident fund, (c) travel allowance, (d) </w:t>
      </w:r>
      <w:r w:rsidR="00DD6F34" w:rsidRPr="00EC36B6">
        <w:rPr>
          <w:rFonts w:ascii="Arial" w:hAnsi="Arial" w:cs="Arial"/>
          <w:sz w:val="24"/>
          <w:szCs w:val="24"/>
        </w:rPr>
        <w:t>cell phone</w:t>
      </w:r>
      <w:r w:rsidRPr="00EC36B6">
        <w:rPr>
          <w:rFonts w:ascii="Arial" w:hAnsi="Arial" w:cs="Arial"/>
          <w:sz w:val="24"/>
          <w:szCs w:val="24"/>
        </w:rPr>
        <w:t xml:space="preserve"> allowance and (e) performance bonus for the board members of the executive of the National Lotteries Commission for the position of (i) Chief Financial Officer and (ii) Senior Executive: Grant Funding in the (aa) 2019-20, (bb) 2020-21 and (cc) 2021-22 financial years?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C36B6">
        <w:rPr>
          <w:rFonts w:ascii="Arial" w:hAnsi="Arial" w:cs="Arial"/>
          <w:sz w:val="24"/>
          <w:szCs w:val="24"/>
        </w:rPr>
        <w:t xml:space="preserve">   NW2868E</w:t>
      </w:r>
    </w:p>
    <w:p w:rsidR="00DE45A5" w:rsidRDefault="00DE45A5" w:rsidP="00872C8F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DD6F34" w:rsidRDefault="006D0B55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</w:t>
      </w:r>
      <w:r w:rsidR="00872C8F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:rsidR="00C60F52" w:rsidRDefault="00C60F52" w:rsidP="007532DC">
      <w:pPr>
        <w:pStyle w:val="ListParagraph"/>
        <w:spacing w:after="0" w:line="276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D0B55" w:rsidRDefault="006D0B55" w:rsidP="005C4E47">
      <w:pPr>
        <w:pStyle w:val="ListParagraph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 National Lotteries </w:t>
      </w:r>
      <w:r w:rsidR="005C4E47">
        <w:rPr>
          <w:rFonts w:ascii="Arial" w:hAnsi="Arial" w:cs="Arial"/>
          <w:bCs/>
          <w:sz w:val="24"/>
          <w:szCs w:val="24"/>
          <w:lang w:val="en-GB"/>
        </w:rPr>
        <w:t>Commission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has furnished me with</w:t>
      </w:r>
      <w:r w:rsidR="00466729">
        <w:rPr>
          <w:rFonts w:ascii="Arial" w:hAnsi="Arial" w:cs="Arial"/>
          <w:bCs/>
          <w:sz w:val="24"/>
          <w:szCs w:val="24"/>
          <w:lang w:val="en-GB"/>
        </w:rPr>
        <w:t xml:space="preserve"> the following response to the q</w:t>
      </w:r>
      <w:r>
        <w:rPr>
          <w:rFonts w:ascii="Arial" w:hAnsi="Arial" w:cs="Arial"/>
          <w:bCs/>
          <w:sz w:val="24"/>
          <w:szCs w:val="24"/>
          <w:lang w:val="en-GB"/>
        </w:rPr>
        <w:t>uestion</w:t>
      </w:r>
    </w:p>
    <w:p w:rsidR="006D0B55" w:rsidRDefault="006D0B55" w:rsidP="005C4E47">
      <w:pPr>
        <w:pStyle w:val="ListParagraph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7532DC" w:rsidRDefault="006D0B55" w:rsidP="005C4E47">
      <w:pPr>
        <w:pStyle w:val="ListParagraph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“</w:t>
      </w:r>
      <w:r w:rsidR="00DD6F34">
        <w:rPr>
          <w:rFonts w:ascii="Arial" w:hAnsi="Arial" w:cs="Arial"/>
          <w:bCs/>
          <w:sz w:val="24"/>
          <w:szCs w:val="24"/>
          <w:lang w:val="en-GB"/>
        </w:rPr>
        <w:t>T</w:t>
      </w:r>
      <w:r w:rsidR="007532DC" w:rsidRPr="007532DC">
        <w:rPr>
          <w:rFonts w:ascii="Arial" w:hAnsi="Arial" w:cs="Arial"/>
          <w:bCs/>
          <w:sz w:val="24"/>
          <w:szCs w:val="24"/>
          <w:lang w:val="en-GB"/>
        </w:rPr>
        <w:t>he position of Senior Executive: Grant Funding ceased</w:t>
      </w:r>
      <w:r w:rsidR="00DD6F34">
        <w:rPr>
          <w:rFonts w:ascii="Arial" w:hAnsi="Arial" w:cs="Arial"/>
          <w:bCs/>
          <w:sz w:val="24"/>
          <w:szCs w:val="24"/>
          <w:lang w:val="en-GB"/>
        </w:rPr>
        <w:t xml:space="preserve"> to exist in April 2017 and was </w:t>
      </w:r>
      <w:r w:rsidR="007532DC" w:rsidRPr="007532DC">
        <w:rPr>
          <w:rFonts w:ascii="Arial" w:hAnsi="Arial" w:cs="Arial"/>
          <w:bCs/>
          <w:sz w:val="24"/>
          <w:szCs w:val="24"/>
          <w:lang w:val="en-GB"/>
        </w:rPr>
        <w:t>replaced by position of Chief Operations Officer.</w:t>
      </w:r>
    </w:p>
    <w:p w:rsidR="007532DC" w:rsidRDefault="007532DC" w:rsidP="005C4E47">
      <w:pPr>
        <w:pStyle w:val="ListParagraph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7532DC" w:rsidRPr="007532DC" w:rsidRDefault="007532DC" w:rsidP="007532DC">
      <w:pPr>
        <w:spacing w:line="259" w:lineRule="auto"/>
        <w:ind w:left="-900" w:firstLine="900"/>
        <w:rPr>
          <w:rFonts w:ascii="Arial" w:eastAsia="Calibri" w:hAnsi="Arial" w:cs="Arial"/>
          <w:b/>
          <w:bCs/>
          <w:sz w:val="18"/>
          <w:szCs w:val="18"/>
        </w:rPr>
      </w:pPr>
      <w:r w:rsidRPr="007532DC">
        <w:rPr>
          <w:rFonts w:ascii="Arial" w:eastAsia="Calibri" w:hAnsi="Arial" w:cs="Arial"/>
          <w:b/>
          <w:bCs/>
          <w:szCs w:val="18"/>
        </w:rPr>
        <w:t>FINANCIAL YEAR: 2019/2020</w:t>
      </w:r>
      <w:r w:rsidR="000467B3">
        <w:rPr>
          <w:rFonts w:ascii="Arial" w:eastAsia="Calibri" w:hAnsi="Arial" w:cs="Arial"/>
          <w:b/>
          <w:bCs/>
          <w:szCs w:val="18"/>
        </w:rPr>
        <w:t xml:space="preserve"> (aa)</w:t>
      </w:r>
    </w:p>
    <w:tbl>
      <w:tblPr>
        <w:tblW w:w="9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419"/>
        <w:gridCol w:w="1396"/>
        <w:gridCol w:w="1146"/>
        <w:gridCol w:w="1316"/>
        <w:gridCol w:w="1582"/>
        <w:gridCol w:w="1309"/>
      </w:tblGrid>
      <w:tr w:rsidR="007532DC" w:rsidRPr="007532DC" w:rsidTr="00C54EFD">
        <w:trPr>
          <w:trHeight w:val="999"/>
        </w:trPr>
        <w:tc>
          <w:tcPr>
            <w:tcW w:w="1801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40" w:lineRule="auto"/>
              <w:ind w:left="-650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</w:rPr>
            </w:pPr>
            <w:bookmarkStart w:id="0" w:name="_Hlk113027881"/>
            <w:r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Executives</w:t>
            </w:r>
          </w:p>
        </w:tc>
        <w:tc>
          <w:tcPr>
            <w:tcW w:w="1419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(a) </w:t>
            </w:r>
            <w:r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Basic</w:t>
            </w:r>
          </w:p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396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(b) 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Provident Fund and Risk Benefit Contributions</w:t>
            </w:r>
          </w:p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146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(c) 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Travel Allowance</w:t>
            </w:r>
          </w:p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316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(d)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Cellphone Allowance</w:t>
            </w:r>
          </w:p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582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(e)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Performance Bonus</w:t>
            </w:r>
          </w:p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309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  <w:p w:rsidR="007532DC" w:rsidRPr="007532DC" w:rsidRDefault="007532DC" w:rsidP="007532D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</w:tr>
      <w:tr w:rsidR="007532DC" w:rsidRPr="007532DC" w:rsidTr="00C54EFD">
        <w:trPr>
          <w:trHeight w:val="269"/>
        </w:trPr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21" w:hanging="3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Chief Financial Officer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40" w:lineRule="auto"/>
              <w:ind w:lef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1 703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40" w:lineRule="auto"/>
              <w:ind w:lef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245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40" w:lineRule="auto"/>
              <w:ind w:lef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40" w:lineRule="auto"/>
              <w:ind w:lef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48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40" w:lineRule="auto"/>
              <w:ind w:lef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296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40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2 292</w:t>
            </w:r>
          </w:p>
        </w:tc>
      </w:tr>
      <w:bookmarkEnd w:id="0"/>
    </w:tbl>
    <w:p w:rsidR="007532DC" w:rsidRDefault="007532DC" w:rsidP="007532DC">
      <w:pPr>
        <w:spacing w:line="259" w:lineRule="auto"/>
        <w:ind w:left="-900"/>
        <w:rPr>
          <w:rFonts w:ascii="Arial" w:eastAsia="Calibri" w:hAnsi="Arial" w:cs="Arial"/>
          <w:sz w:val="18"/>
          <w:szCs w:val="18"/>
        </w:rPr>
      </w:pPr>
    </w:p>
    <w:p w:rsidR="00C54EFD" w:rsidRDefault="00C54EFD" w:rsidP="007532DC">
      <w:pPr>
        <w:spacing w:line="259" w:lineRule="auto"/>
        <w:ind w:left="-900" w:firstLine="900"/>
        <w:rPr>
          <w:rFonts w:ascii="Arial" w:eastAsia="Calibri" w:hAnsi="Arial" w:cs="Arial"/>
          <w:b/>
          <w:bCs/>
          <w:szCs w:val="18"/>
        </w:rPr>
      </w:pPr>
    </w:p>
    <w:p w:rsidR="00C54EFD" w:rsidRDefault="00C54EFD" w:rsidP="007532DC">
      <w:pPr>
        <w:spacing w:line="259" w:lineRule="auto"/>
        <w:ind w:left="-900" w:firstLine="900"/>
        <w:rPr>
          <w:rFonts w:ascii="Arial" w:eastAsia="Calibri" w:hAnsi="Arial" w:cs="Arial"/>
          <w:b/>
          <w:bCs/>
          <w:szCs w:val="18"/>
        </w:rPr>
      </w:pPr>
    </w:p>
    <w:p w:rsidR="00C54EFD" w:rsidRDefault="00C54EFD" w:rsidP="007532DC">
      <w:pPr>
        <w:spacing w:line="259" w:lineRule="auto"/>
        <w:ind w:left="-900" w:firstLine="900"/>
        <w:rPr>
          <w:rFonts w:ascii="Arial" w:eastAsia="Calibri" w:hAnsi="Arial" w:cs="Arial"/>
          <w:b/>
          <w:bCs/>
          <w:szCs w:val="18"/>
        </w:rPr>
      </w:pPr>
    </w:p>
    <w:p w:rsidR="00C54EFD" w:rsidRDefault="00C54EFD" w:rsidP="007532DC">
      <w:pPr>
        <w:spacing w:line="259" w:lineRule="auto"/>
        <w:ind w:left="-900" w:firstLine="900"/>
        <w:rPr>
          <w:rFonts w:ascii="Arial" w:eastAsia="Calibri" w:hAnsi="Arial" w:cs="Arial"/>
          <w:b/>
          <w:bCs/>
          <w:szCs w:val="18"/>
        </w:rPr>
      </w:pPr>
    </w:p>
    <w:p w:rsidR="00C54EFD" w:rsidRDefault="00C54EFD" w:rsidP="007532DC">
      <w:pPr>
        <w:spacing w:line="259" w:lineRule="auto"/>
        <w:ind w:left="-900" w:firstLine="900"/>
        <w:rPr>
          <w:rFonts w:ascii="Arial" w:eastAsia="Calibri" w:hAnsi="Arial" w:cs="Arial"/>
          <w:b/>
          <w:bCs/>
          <w:szCs w:val="18"/>
        </w:rPr>
      </w:pPr>
    </w:p>
    <w:p w:rsidR="007532DC" w:rsidRPr="007532DC" w:rsidRDefault="007532DC" w:rsidP="007532DC">
      <w:pPr>
        <w:spacing w:line="259" w:lineRule="auto"/>
        <w:ind w:left="-900" w:firstLine="900"/>
        <w:rPr>
          <w:rFonts w:ascii="Arial" w:eastAsia="Calibri" w:hAnsi="Arial" w:cs="Arial"/>
          <w:b/>
          <w:bCs/>
          <w:szCs w:val="18"/>
        </w:rPr>
      </w:pPr>
      <w:r w:rsidRPr="007532DC">
        <w:rPr>
          <w:rFonts w:ascii="Arial" w:eastAsia="Calibri" w:hAnsi="Arial" w:cs="Arial"/>
          <w:b/>
          <w:bCs/>
          <w:szCs w:val="18"/>
        </w:rPr>
        <w:t>FINANCIAL YEAR: 2020/2021</w:t>
      </w:r>
      <w:r w:rsidR="000467B3">
        <w:rPr>
          <w:rFonts w:ascii="Arial" w:eastAsia="Calibri" w:hAnsi="Arial" w:cs="Arial"/>
          <w:b/>
          <w:bCs/>
          <w:szCs w:val="18"/>
        </w:rPr>
        <w:t xml:space="preserve"> (bb)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1421"/>
        <w:gridCol w:w="1396"/>
        <w:gridCol w:w="1292"/>
        <w:gridCol w:w="1420"/>
        <w:gridCol w:w="1537"/>
        <w:gridCol w:w="1053"/>
      </w:tblGrid>
      <w:tr w:rsidR="007532DC" w:rsidRPr="007532DC" w:rsidTr="000467B3">
        <w:trPr>
          <w:trHeight w:val="1869"/>
        </w:trPr>
        <w:tc>
          <w:tcPr>
            <w:tcW w:w="1804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Executives</w:t>
            </w:r>
          </w:p>
        </w:tc>
        <w:tc>
          <w:tcPr>
            <w:tcW w:w="1421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(a) </w:t>
            </w:r>
            <w:r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Basic</w:t>
            </w:r>
          </w:p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396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(b) 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Provident Fund and Risk Benefit Contributions</w:t>
            </w:r>
          </w:p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292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(c) 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Travel Allowance</w:t>
            </w:r>
          </w:p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420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(d) 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Cellphone Allowance</w:t>
            </w:r>
          </w:p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537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(e)</w:t>
            </w: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Performance Bonus</w:t>
            </w:r>
          </w:p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053" w:type="dxa"/>
            <w:shd w:val="clear" w:color="auto" w:fill="002060"/>
            <w:noWrap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</w:tr>
      <w:tr w:rsidR="007532DC" w:rsidRPr="007532DC" w:rsidTr="000467B3">
        <w:trPr>
          <w:trHeight w:val="793"/>
        </w:trPr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pStyle w:val="ListParagraph"/>
              <w:numPr>
                <w:ilvl w:val="0"/>
                <w:numId w:val="30"/>
              </w:numPr>
              <w:spacing w:line="259" w:lineRule="auto"/>
              <w:ind w:left="321" w:hanging="32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Chief Financial Officer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1 731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250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48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655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2 684</w:t>
            </w:r>
          </w:p>
        </w:tc>
      </w:tr>
    </w:tbl>
    <w:p w:rsidR="007532DC" w:rsidRPr="007532DC" w:rsidRDefault="007532DC" w:rsidP="007532DC">
      <w:pPr>
        <w:spacing w:line="259" w:lineRule="auto"/>
        <w:rPr>
          <w:rFonts w:ascii="Arial" w:eastAsia="Calibri" w:hAnsi="Arial" w:cs="Arial"/>
          <w:sz w:val="18"/>
          <w:szCs w:val="18"/>
        </w:rPr>
      </w:pPr>
    </w:p>
    <w:p w:rsidR="007532DC" w:rsidRPr="007532DC" w:rsidRDefault="007532DC" w:rsidP="000467B3">
      <w:pPr>
        <w:spacing w:line="259" w:lineRule="auto"/>
        <w:rPr>
          <w:rFonts w:ascii="Arial" w:eastAsia="Calibri" w:hAnsi="Arial" w:cs="Arial"/>
          <w:b/>
          <w:bCs/>
          <w:szCs w:val="18"/>
        </w:rPr>
      </w:pPr>
      <w:bookmarkStart w:id="1" w:name="_Hlk113028611"/>
      <w:r w:rsidRPr="007532DC">
        <w:rPr>
          <w:rFonts w:ascii="Arial" w:eastAsia="Calibri" w:hAnsi="Arial" w:cs="Arial"/>
          <w:b/>
          <w:bCs/>
          <w:szCs w:val="18"/>
        </w:rPr>
        <w:t>FINANCIAL YEAR: 2021/2022</w:t>
      </w:r>
      <w:r w:rsidR="000467B3">
        <w:rPr>
          <w:rFonts w:ascii="Arial" w:eastAsia="Calibri" w:hAnsi="Arial" w:cs="Arial"/>
          <w:b/>
          <w:bCs/>
          <w:szCs w:val="18"/>
        </w:rPr>
        <w:t xml:space="preserve"> (cc)</w:t>
      </w:r>
    </w:p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120"/>
        <w:gridCol w:w="1396"/>
        <w:gridCol w:w="1107"/>
        <w:gridCol w:w="1316"/>
        <w:gridCol w:w="1537"/>
        <w:gridCol w:w="1187"/>
        <w:gridCol w:w="777"/>
      </w:tblGrid>
      <w:tr w:rsidR="000467B3" w:rsidRPr="007532DC" w:rsidTr="00C54EFD">
        <w:trPr>
          <w:trHeight w:val="879"/>
        </w:trPr>
        <w:tc>
          <w:tcPr>
            <w:tcW w:w="1618" w:type="dxa"/>
            <w:shd w:val="clear" w:color="auto" w:fill="002060"/>
            <w:noWrap/>
            <w:hideMark/>
          </w:tcPr>
          <w:bookmarkEnd w:id="1"/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Executives</w:t>
            </w:r>
          </w:p>
        </w:tc>
        <w:tc>
          <w:tcPr>
            <w:tcW w:w="1120" w:type="dxa"/>
            <w:shd w:val="clear" w:color="auto" w:fill="002060"/>
            <w:noWrap/>
            <w:hideMark/>
          </w:tcPr>
          <w:p w:rsidR="007532DC" w:rsidRPr="007532DC" w:rsidRDefault="000467B3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(a) </w:t>
            </w:r>
            <w:r w:rsidR="007532DC" w:rsidRPr="007532D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Basic</w:t>
            </w:r>
          </w:p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396" w:type="dxa"/>
            <w:shd w:val="clear" w:color="auto" w:fill="002060"/>
            <w:hideMark/>
          </w:tcPr>
          <w:p w:rsidR="007532DC" w:rsidRPr="007532DC" w:rsidRDefault="000467B3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(b)</w:t>
            </w:r>
            <w:r w:rsidR="007532DC"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Provident Fund and Risk Benefit Contributions</w:t>
            </w:r>
          </w:p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107" w:type="dxa"/>
            <w:shd w:val="clear" w:color="auto" w:fill="002060"/>
            <w:hideMark/>
          </w:tcPr>
          <w:p w:rsidR="007532DC" w:rsidRPr="007532DC" w:rsidRDefault="000467B3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(c)</w:t>
            </w:r>
            <w:r w:rsidR="007532DC"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Travel Allowance</w:t>
            </w:r>
          </w:p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316" w:type="dxa"/>
            <w:shd w:val="clear" w:color="auto" w:fill="002060"/>
            <w:hideMark/>
          </w:tcPr>
          <w:p w:rsidR="007532DC" w:rsidRPr="007532DC" w:rsidRDefault="000467B3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(d)</w:t>
            </w:r>
            <w:r w:rsidR="007532DC"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Cellphone Allowance</w:t>
            </w:r>
          </w:p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537" w:type="dxa"/>
            <w:shd w:val="clear" w:color="auto" w:fill="002060"/>
            <w:hideMark/>
          </w:tcPr>
          <w:p w:rsidR="007532DC" w:rsidRPr="007532DC" w:rsidRDefault="000467B3" w:rsidP="007532DC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(e)</w:t>
            </w:r>
            <w:r w:rsidR="007532DC"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Performance Bonus</w:t>
            </w:r>
          </w:p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R'000</w:t>
            </w:r>
          </w:p>
        </w:tc>
        <w:tc>
          <w:tcPr>
            <w:tcW w:w="1187" w:type="dxa"/>
            <w:shd w:val="clear" w:color="auto" w:fill="002060"/>
            <w:hideMark/>
          </w:tcPr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Other Allowances</w:t>
            </w:r>
          </w:p>
        </w:tc>
        <w:tc>
          <w:tcPr>
            <w:tcW w:w="777" w:type="dxa"/>
            <w:shd w:val="clear" w:color="auto" w:fill="002060"/>
            <w:hideMark/>
          </w:tcPr>
          <w:p w:rsidR="007532DC" w:rsidRPr="007532DC" w:rsidRDefault="007532DC" w:rsidP="007532DC">
            <w:pPr>
              <w:spacing w:line="259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2022</w:t>
            </w:r>
          </w:p>
        </w:tc>
      </w:tr>
      <w:tr w:rsidR="000467B3" w:rsidRPr="007532DC" w:rsidTr="00C54EFD">
        <w:trPr>
          <w:trHeight w:val="586"/>
        </w:trPr>
        <w:tc>
          <w:tcPr>
            <w:tcW w:w="1618" w:type="dxa"/>
            <w:shd w:val="clear" w:color="auto" w:fill="auto"/>
            <w:vAlign w:val="center"/>
            <w:hideMark/>
          </w:tcPr>
          <w:p w:rsidR="007532DC" w:rsidRPr="000467B3" w:rsidRDefault="007532DC" w:rsidP="000467B3">
            <w:pPr>
              <w:pStyle w:val="ListParagraph"/>
              <w:numPr>
                <w:ilvl w:val="0"/>
                <w:numId w:val="31"/>
              </w:numPr>
              <w:spacing w:line="259" w:lineRule="auto"/>
              <w:ind w:left="321" w:hanging="321"/>
              <w:rPr>
                <w:rFonts w:ascii="Arial" w:eastAsia="Calibri" w:hAnsi="Arial" w:cs="Arial"/>
                <w:sz w:val="18"/>
                <w:szCs w:val="18"/>
              </w:rPr>
            </w:pPr>
            <w:r w:rsidRPr="000467B3">
              <w:rPr>
                <w:rFonts w:ascii="Arial" w:eastAsia="Calibri" w:hAnsi="Arial" w:cs="Arial"/>
                <w:sz w:val="18"/>
                <w:szCs w:val="18"/>
              </w:rPr>
              <w:t>Chief Financial Officer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ind w:left="25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2 116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ind w:left="25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326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ind w:left="25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ind w:left="25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48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ind w:left="25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687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ind w:left="25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104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7532DC" w:rsidRPr="007532DC" w:rsidRDefault="007532DC" w:rsidP="007532DC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32DC">
              <w:rPr>
                <w:rFonts w:ascii="Arial" w:eastAsia="Calibri" w:hAnsi="Arial" w:cs="Arial"/>
                <w:sz w:val="18"/>
                <w:szCs w:val="18"/>
              </w:rPr>
              <w:t>3 281</w:t>
            </w:r>
          </w:p>
        </w:tc>
      </w:tr>
    </w:tbl>
    <w:p w:rsidR="00C8544C" w:rsidRPr="000467B3" w:rsidRDefault="00C8544C" w:rsidP="000467B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C54EFD" w:rsidRPr="005C4E47" w:rsidRDefault="00C54EFD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EA5109" w:rsidRPr="005C4E47" w:rsidRDefault="00466729" w:rsidP="00466729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  <w:bookmarkStart w:id="2" w:name="_GoBack"/>
      <w:bookmarkEnd w:id="2"/>
    </w:p>
    <w:sectPr w:rsidR="00EA5109" w:rsidRPr="005C4E47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6E" w:rsidRDefault="00FB006E" w:rsidP="006D054B">
      <w:pPr>
        <w:spacing w:after="0" w:line="240" w:lineRule="auto"/>
      </w:pPr>
      <w:r>
        <w:separator/>
      </w:r>
    </w:p>
  </w:endnote>
  <w:endnote w:type="continuationSeparator" w:id="0">
    <w:p w:rsidR="00FB006E" w:rsidRDefault="00FB006E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7A0A00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FB0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0467B3">
      <w:t>: NA PQ 2444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6E" w:rsidRDefault="00FB006E" w:rsidP="006D054B">
      <w:pPr>
        <w:spacing w:after="0" w:line="240" w:lineRule="auto"/>
      </w:pPr>
      <w:r>
        <w:separator/>
      </w:r>
    </w:p>
  </w:footnote>
  <w:footnote w:type="continuationSeparator" w:id="0">
    <w:p w:rsidR="00FB006E" w:rsidRDefault="00FB006E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760F51" w:rsidRDefault="00760F51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F3B"/>
    <w:multiLevelType w:val="hybridMultilevel"/>
    <w:tmpl w:val="8AD0F614"/>
    <w:lvl w:ilvl="0" w:tplc="7B52802C">
      <w:start w:val="1"/>
      <w:numFmt w:val="lowerRoman"/>
      <w:lvlText w:val="(%1)"/>
      <w:lvlJc w:val="left"/>
      <w:pPr>
        <w:ind w:left="7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0" w:hanging="360"/>
      </w:pPr>
    </w:lvl>
    <w:lvl w:ilvl="2" w:tplc="1C09001B" w:tentative="1">
      <w:start w:val="1"/>
      <w:numFmt w:val="lowerRoman"/>
      <w:lvlText w:val="%3."/>
      <w:lvlJc w:val="right"/>
      <w:pPr>
        <w:ind w:left="1780" w:hanging="180"/>
      </w:pPr>
    </w:lvl>
    <w:lvl w:ilvl="3" w:tplc="1C09000F" w:tentative="1">
      <w:start w:val="1"/>
      <w:numFmt w:val="decimal"/>
      <w:lvlText w:val="%4."/>
      <w:lvlJc w:val="left"/>
      <w:pPr>
        <w:ind w:left="2500" w:hanging="360"/>
      </w:pPr>
    </w:lvl>
    <w:lvl w:ilvl="4" w:tplc="1C090019" w:tentative="1">
      <w:start w:val="1"/>
      <w:numFmt w:val="lowerLetter"/>
      <w:lvlText w:val="%5."/>
      <w:lvlJc w:val="left"/>
      <w:pPr>
        <w:ind w:left="3220" w:hanging="360"/>
      </w:pPr>
    </w:lvl>
    <w:lvl w:ilvl="5" w:tplc="1C09001B" w:tentative="1">
      <w:start w:val="1"/>
      <w:numFmt w:val="lowerRoman"/>
      <w:lvlText w:val="%6."/>
      <w:lvlJc w:val="right"/>
      <w:pPr>
        <w:ind w:left="3940" w:hanging="180"/>
      </w:pPr>
    </w:lvl>
    <w:lvl w:ilvl="6" w:tplc="1C09000F" w:tentative="1">
      <w:start w:val="1"/>
      <w:numFmt w:val="decimal"/>
      <w:lvlText w:val="%7."/>
      <w:lvlJc w:val="left"/>
      <w:pPr>
        <w:ind w:left="4660" w:hanging="360"/>
      </w:pPr>
    </w:lvl>
    <w:lvl w:ilvl="7" w:tplc="1C090019" w:tentative="1">
      <w:start w:val="1"/>
      <w:numFmt w:val="lowerLetter"/>
      <w:lvlText w:val="%8."/>
      <w:lvlJc w:val="left"/>
      <w:pPr>
        <w:ind w:left="5380" w:hanging="360"/>
      </w:pPr>
    </w:lvl>
    <w:lvl w:ilvl="8" w:tplc="1C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C7A56"/>
    <w:multiLevelType w:val="hybridMultilevel"/>
    <w:tmpl w:val="30408C74"/>
    <w:lvl w:ilvl="0" w:tplc="48F8D9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4729D"/>
    <w:multiLevelType w:val="hybridMultilevel"/>
    <w:tmpl w:val="510CB5F8"/>
    <w:lvl w:ilvl="0" w:tplc="1F06AD06">
      <w:start w:val="1"/>
      <w:numFmt w:val="lowerRoman"/>
      <w:lvlText w:val="(%1)"/>
      <w:lvlJc w:val="left"/>
      <w:pPr>
        <w:ind w:left="7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0" w:hanging="360"/>
      </w:pPr>
    </w:lvl>
    <w:lvl w:ilvl="2" w:tplc="1C09001B" w:tentative="1">
      <w:start w:val="1"/>
      <w:numFmt w:val="lowerRoman"/>
      <w:lvlText w:val="%3."/>
      <w:lvlJc w:val="right"/>
      <w:pPr>
        <w:ind w:left="1780" w:hanging="180"/>
      </w:pPr>
    </w:lvl>
    <w:lvl w:ilvl="3" w:tplc="1C09000F" w:tentative="1">
      <w:start w:val="1"/>
      <w:numFmt w:val="decimal"/>
      <w:lvlText w:val="%4."/>
      <w:lvlJc w:val="left"/>
      <w:pPr>
        <w:ind w:left="2500" w:hanging="360"/>
      </w:pPr>
    </w:lvl>
    <w:lvl w:ilvl="4" w:tplc="1C090019" w:tentative="1">
      <w:start w:val="1"/>
      <w:numFmt w:val="lowerLetter"/>
      <w:lvlText w:val="%5."/>
      <w:lvlJc w:val="left"/>
      <w:pPr>
        <w:ind w:left="3220" w:hanging="360"/>
      </w:pPr>
    </w:lvl>
    <w:lvl w:ilvl="5" w:tplc="1C09001B" w:tentative="1">
      <w:start w:val="1"/>
      <w:numFmt w:val="lowerRoman"/>
      <w:lvlText w:val="%6."/>
      <w:lvlJc w:val="right"/>
      <w:pPr>
        <w:ind w:left="3940" w:hanging="180"/>
      </w:pPr>
    </w:lvl>
    <w:lvl w:ilvl="6" w:tplc="1C09000F" w:tentative="1">
      <w:start w:val="1"/>
      <w:numFmt w:val="decimal"/>
      <w:lvlText w:val="%7."/>
      <w:lvlJc w:val="left"/>
      <w:pPr>
        <w:ind w:left="4660" w:hanging="360"/>
      </w:pPr>
    </w:lvl>
    <w:lvl w:ilvl="7" w:tplc="1C090019" w:tentative="1">
      <w:start w:val="1"/>
      <w:numFmt w:val="lowerLetter"/>
      <w:lvlText w:val="%8."/>
      <w:lvlJc w:val="left"/>
      <w:pPr>
        <w:ind w:left="5380" w:hanging="360"/>
      </w:pPr>
    </w:lvl>
    <w:lvl w:ilvl="8" w:tplc="1C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8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5"/>
  </w:num>
  <w:num w:numId="8">
    <w:abstractNumId w:val="22"/>
  </w:num>
  <w:num w:numId="9">
    <w:abstractNumId w:val="17"/>
  </w:num>
  <w:num w:numId="10">
    <w:abstractNumId w:val="0"/>
  </w:num>
  <w:num w:numId="11">
    <w:abstractNumId w:val="13"/>
  </w:num>
  <w:num w:numId="12">
    <w:abstractNumId w:val="19"/>
  </w:num>
  <w:num w:numId="13">
    <w:abstractNumId w:val="25"/>
  </w:num>
  <w:num w:numId="14">
    <w:abstractNumId w:val="11"/>
  </w:num>
  <w:num w:numId="15">
    <w:abstractNumId w:val="3"/>
  </w:num>
  <w:num w:numId="16">
    <w:abstractNumId w:val="12"/>
  </w:num>
  <w:num w:numId="17">
    <w:abstractNumId w:val="21"/>
  </w:num>
  <w:num w:numId="18">
    <w:abstractNumId w:val="15"/>
  </w:num>
  <w:num w:numId="19">
    <w:abstractNumId w:val="20"/>
  </w:num>
  <w:num w:numId="20">
    <w:abstractNumId w:val="1"/>
  </w:num>
  <w:num w:numId="21">
    <w:abstractNumId w:val="23"/>
  </w:num>
  <w:num w:numId="22">
    <w:abstractNumId w:val="10"/>
  </w:num>
  <w:num w:numId="23">
    <w:abstractNumId w:val="14"/>
  </w:num>
  <w:num w:numId="24">
    <w:abstractNumId w:val="8"/>
  </w:num>
  <w:num w:numId="25">
    <w:abstractNumId w:val="9"/>
  </w:num>
  <w:num w:numId="26">
    <w:abstractNumId w:val="4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7B3"/>
    <w:rsid w:val="00046D78"/>
    <w:rsid w:val="0006536D"/>
    <w:rsid w:val="00071E10"/>
    <w:rsid w:val="000B0517"/>
    <w:rsid w:val="000B2DB1"/>
    <w:rsid w:val="000C4638"/>
    <w:rsid w:val="000D3BB4"/>
    <w:rsid w:val="000D608B"/>
    <w:rsid w:val="0013089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E90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CE3"/>
    <w:rsid w:val="002A1D56"/>
    <w:rsid w:val="002A46DB"/>
    <w:rsid w:val="002A5258"/>
    <w:rsid w:val="002B0ED2"/>
    <w:rsid w:val="002C1B9E"/>
    <w:rsid w:val="002D0830"/>
    <w:rsid w:val="002D69F4"/>
    <w:rsid w:val="002F4916"/>
    <w:rsid w:val="00301F58"/>
    <w:rsid w:val="0031644A"/>
    <w:rsid w:val="00332C21"/>
    <w:rsid w:val="00351BDA"/>
    <w:rsid w:val="003632E6"/>
    <w:rsid w:val="00383F6C"/>
    <w:rsid w:val="00385BF1"/>
    <w:rsid w:val="003A3726"/>
    <w:rsid w:val="003B2450"/>
    <w:rsid w:val="003C58AD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66729"/>
    <w:rsid w:val="00484CF4"/>
    <w:rsid w:val="00493614"/>
    <w:rsid w:val="004B2BE0"/>
    <w:rsid w:val="004C432F"/>
    <w:rsid w:val="004D0F02"/>
    <w:rsid w:val="004E2E71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97203"/>
    <w:rsid w:val="005A5FEE"/>
    <w:rsid w:val="005C3727"/>
    <w:rsid w:val="005C4E47"/>
    <w:rsid w:val="005D3B6A"/>
    <w:rsid w:val="005E30FD"/>
    <w:rsid w:val="005F6350"/>
    <w:rsid w:val="00622A03"/>
    <w:rsid w:val="00624740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C6F31"/>
    <w:rsid w:val="006D054B"/>
    <w:rsid w:val="006D0B55"/>
    <w:rsid w:val="006E5CFB"/>
    <w:rsid w:val="00707C88"/>
    <w:rsid w:val="0072078E"/>
    <w:rsid w:val="007477F1"/>
    <w:rsid w:val="007532DC"/>
    <w:rsid w:val="00755D99"/>
    <w:rsid w:val="00760F51"/>
    <w:rsid w:val="00761225"/>
    <w:rsid w:val="0078637F"/>
    <w:rsid w:val="00792751"/>
    <w:rsid w:val="007A0A00"/>
    <w:rsid w:val="007A5B33"/>
    <w:rsid w:val="007B14C3"/>
    <w:rsid w:val="007B412F"/>
    <w:rsid w:val="007B7DA8"/>
    <w:rsid w:val="007D1596"/>
    <w:rsid w:val="007D1D58"/>
    <w:rsid w:val="007D2A4F"/>
    <w:rsid w:val="007F72FC"/>
    <w:rsid w:val="00803209"/>
    <w:rsid w:val="00833E81"/>
    <w:rsid w:val="00841350"/>
    <w:rsid w:val="008528EA"/>
    <w:rsid w:val="00853BDC"/>
    <w:rsid w:val="00855ABA"/>
    <w:rsid w:val="008634FA"/>
    <w:rsid w:val="00872C8F"/>
    <w:rsid w:val="00892467"/>
    <w:rsid w:val="00894F69"/>
    <w:rsid w:val="008A796E"/>
    <w:rsid w:val="008D06C0"/>
    <w:rsid w:val="008E0AEF"/>
    <w:rsid w:val="008F5571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74C0C"/>
    <w:rsid w:val="009815FD"/>
    <w:rsid w:val="0099215A"/>
    <w:rsid w:val="009A0FF0"/>
    <w:rsid w:val="009C3E7C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46E81"/>
    <w:rsid w:val="00A557B1"/>
    <w:rsid w:val="00A81AFD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4589"/>
    <w:rsid w:val="00B2231A"/>
    <w:rsid w:val="00B236EF"/>
    <w:rsid w:val="00B263F6"/>
    <w:rsid w:val="00B43F0E"/>
    <w:rsid w:val="00B52275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4EFD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CF31CA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0B0"/>
    <w:rsid w:val="00D97348"/>
    <w:rsid w:val="00DD063F"/>
    <w:rsid w:val="00DD60A6"/>
    <w:rsid w:val="00DD6F34"/>
    <w:rsid w:val="00DE45A5"/>
    <w:rsid w:val="00DE4BB9"/>
    <w:rsid w:val="00E44BAD"/>
    <w:rsid w:val="00E554C9"/>
    <w:rsid w:val="00E6096E"/>
    <w:rsid w:val="00E76F25"/>
    <w:rsid w:val="00E846E6"/>
    <w:rsid w:val="00E900D5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3392B"/>
    <w:rsid w:val="00F51CB8"/>
    <w:rsid w:val="00F55E3D"/>
    <w:rsid w:val="00F671DD"/>
    <w:rsid w:val="00F716B6"/>
    <w:rsid w:val="00F8074E"/>
    <w:rsid w:val="00F9020F"/>
    <w:rsid w:val="00FA285D"/>
    <w:rsid w:val="00FB006E"/>
    <w:rsid w:val="00FB765E"/>
    <w:rsid w:val="00FB7875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37F8-60E0-4E46-BD3E-6E19F519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2022-09-21T07:30:00Z</dcterms:created>
  <dcterms:modified xsi:type="dcterms:W3CDTF">2022-09-21T07:30:00Z</dcterms:modified>
</cp:coreProperties>
</file>