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981E5B"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C601CE">
        <w:rPr>
          <w:rFonts w:eastAsia="Times New Roman"/>
          <w:b/>
          <w:lang w:val="en-GB" w:eastAsia="en-US"/>
        </w:rPr>
        <w:t>44</w:t>
      </w:r>
      <w:r w:rsidR="009C4F12">
        <w:rPr>
          <w:rFonts w:eastAsia="Times New Roman"/>
          <w:b/>
          <w:lang w:val="en-GB" w:eastAsia="en-US"/>
        </w:rPr>
        <w:t>2</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23</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9C4F12" w:rsidRPr="00D02601" w:rsidRDefault="009C4F12" w:rsidP="009C4F12">
      <w:pPr>
        <w:spacing w:before="100" w:beforeAutospacing="1" w:after="100" w:afterAutospacing="1"/>
        <w:ind w:left="720" w:hanging="720"/>
        <w:jc w:val="both"/>
        <w:outlineLvl w:val="0"/>
        <w:rPr>
          <w:b/>
        </w:rPr>
      </w:pPr>
      <w:r w:rsidRPr="00D02601">
        <w:rPr>
          <w:b/>
        </w:rPr>
        <w:t>M</w:t>
      </w:r>
      <w:r>
        <w:rPr>
          <w:b/>
        </w:rPr>
        <w:t>r H S Gumbi</w:t>
      </w:r>
      <w:r w:rsidRPr="00D02601">
        <w:rPr>
          <w:b/>
        </w:rPr>
        <w:t xml:space="preserve"> (DA) to ask the Minister of </w:t>
      </w:r>
      <w:r>
        <w:rPr>
          <w:b/>
        </w:rPr>
        <w:t>Human Settlements, Water and Sanitation</w:t>
      </w:r>
      <w:r>
        <w:rPr>
          <w:b/>
        </w:rPr>
        <w:fldChar w:fldCharType="begin"/>
      </w:r>
      <w:r>
        <w:instrText xml:space="preserve"> XE "</w:instrText>
      </w:r>
      <w:r w:rsidRPr="002F0663">
        <w:rPr>
          <w:b/>
        </w:rPr>
        <w:instrText>Human Settlements, Water and Sanitation</w:instrText>
      </w:r>
      <w:r>
        <w:instrText xml:space="preserve">" </w:instrText>
      </w:r>
      <w:r>
        <w:rPr>
          <w:b/>
        </w:rPr>
        <w:fldChar w:fldCharType="end"/>
      </w:r>
      <w:r w:rsidRPr="00D02601">
        <w:rPr>
          <w:b/>
        </w:rPr>
        <w:t>:</w:t>
      </w:r>
    </w:p>
    <w:p w:rsidR="009C4F12" w:rsidRPr="00B03B39" w:rsidRDefault="009C4F12" w:rsidP="009C4F12">
      <w:pPr>
        <w:spacing w:before="100" w:beforeAutospacing="1" w:after="100" w:afterAutospacing="1"/>
        <w:ind w:left="720" w:hanging="720"/>
        <w:jc w:val="both"/>
        <w:outlineLvl w:val="0"/>
      </w:pPr>
      <w:r w:rsidRPr="00B03B39">
        <w:t>(1)</w:t>
      </w:r>
      <w:r w:rsidRPr="00B03B39">
        <w:tab/>
        <w:t>What is the average percentage water loss per annum in terms of the allocation to the (a) Great Fish River Water Users Association, (b) Lower Sundays River Water Users Association, (c) Glen Melville Dam and (d) Lower Fish Permit Area;</w:t>
      </w:r>
    </w:p>
    <w:p w:rsidR="009C4F12" w:rsidRDefault="009C4F12" w:rsidP="009C4F12">
      <w:pPr>
        <w:spacing w:before="100" w:beforeAutospacing="1" w:after="100" w:afterAutospacing="1"/>
        <w:ind w:left="720" w:hanging="720"/>
        <w:jc w:val="both"/>
        <w:outlineLvl w:val="0"/>
      </w:pPr>
      <w:r w:rsidRPr="00B03B39">
        <w:t>(2)</w:t>
      </w:r>
      <w:r w:rsidRPr="00B03B39">
        <w:tab/>
        <w:t xml:space="preserve">what infrastructure upgrades </w:t>
      </w:r>
      <w:r>
        <w:t xml:space="preserve">does her department envisage that </w:t>
      </w:r>
      <w:r w:rsidRPr="00B03B39">
        <w:t>will (a) ensure increased efficiency and (b) reduce water loss in terms of the allocation to the (</w:t>
      </w:r>
      <w:r>
        <w:t>i</w:t>
      </w:r>
      <w:r w:rsidRPr="00B03B39">
        <w:t>) Great Fish River Water Users Association, (</w:t>
      </w:r>
      <w:r>
        <w:t>ii</w:t>
      </w:r>
      <w:r w:rsidRPr="00B03B39">
        <w:t>) Lower Sundays River Water Users Association, (</w:t>
      </w:r>
      <w:r>
        <w:t>iii</w:t>
      </w:r>
      <w:r w:rsidRPr="00B03B39">
        <w:t>) Glen Melville Dam and (</w:t>
      </w:r>
      <w:r>
        <w:t>iv</w:t>
      </w:r>
      <w:r w:rsidRPr="00B03B39">
        <w:t>) Lower Fish Permit Area;</w:t>
      </w:r>
    </w:p>
    <w:p w:rsidR="009C4F12" w:rsidRDefault="009C4F12" w:rsidP="009C4F12">
      <w:pPr>
        <w:spacing w:before="100" w:beforeAutospacing="1" w:after="100" w:afterAutospacing="1"/>
        <w:ind w:left="720" w:hanging="720"/>
        <w:jc w:val="both"/>
        <w:outlineLvl w:val="0"/>
        <w:rPr>
          <w:color w:val="001F00"/>
          <w:spacing w:val="6"/>
          <w:sz w:val="20"/>
          <w:szCs w:val="20"/>
        </w:rPr>
      </w:pPr>
      <w:r w:rsidRPr="00B03B39">
        <w:t>(3)</w:t>
      </w:r>
      <w:r w:rsidRPr="00B03B39">
        <w:tab/>
        <w:t>wh</w:t>
      </w:r>
      <w:r>
        <w:t xml:space="preserve">ether her department does the </w:t>
      </w:r>
      <w:r w:rsidRPr="00B03B39">
        <w:t>water infrastructure upgrades in respect of the infrastructure that supports the (a) Great Fish River Water Users Association, (b) Lower Sundays River Water Users Association, (c) Glen Melville Dam and (d) Lower Fish Permit Area?</w:t>
      </w:r>
      <w:r w:rsidRPr="00B03B39">
        <w:rPr>
          <w:color w:val="001F00"/>
          <w:spacing w:val="6"/>
        </w:rPr>
        <w:tab/>
      </w:r>
      <w:r w:rsidRPr="00B03B39">
        <w:rPr>
          <w:color w:val="001F00"/>
          <w:spacing w:val="6"/>
        </w:rPr>
        <w:tab/>
      </w:r>
      <w:r>
        <w:rPr>
          <w:color w:val="001F00"/>
          <w:spacing w:val="6"/>
        </w:rPr>
        <w:tab/>
      </w:r>
      <w:r>
        <w:rPr>
          <w:color w:val="001F00"/>
          <w:spacing w:val="6"/>
        </w:rPr>
        <w:tab/>
      </w:r>
      <w:r>
        <w:rPr>
          <w:color w:val="001F00"/>
          <w:spacing w:val="6"/>
        </w:rPr>
        <w:tab/>
      </w:r>
      <w:r w:rsidRPr="00B03B39">
        <w:rPr>
          <w:color w:val="001F00"/>
          <w:spacing w:val="6"/>
        </w:rPr>
        <w:tab/>
      </w:r>
      <w:r w:rsidR="00AA3355">
        <w:rPr>
          <w:color w:val="001F00"/>
          <w:spacing w:val="6"/>
        </w:rPr>
        <w:tab/>
      </w:r>
      <w:r w:rsidR="00AA3355">
        <w:rPr>
          <w:color w:val="001F00"/>
          <w:spacing w:val="6"/>
        </w:rPr>
        <w:tab/>
      </w:r>
      <w:r w:rsidR="00AA3355">
        <w:rPr>
          <w:color w:val="001F00"/>
          <w:spacing w:val="6"/>
        </w:rPr>
        <w:tab/>
        <w:t xml:space="preserve">         </w:t>
      </w:r>
      <w:r w:rsidRPr="003F033C">
        <w:rPr>
          <w:color w:val="001F00"/>
          <w:spacing w:val="6"/>
          <w:sz w:val="20"/>
          <w:szCs w:val="20"/>
        </w:rPr>
        <w:t>NW30</w:t>
      </w:r>
      <w:r>
        <w:rPr>
          <w:color w:val="001F00"/>
          <w:spacing w:val="6"/>
          <w:sz w:val="20"/>
          <w:szCs w:val="20"/>
        </w:rPr>
        <w:t>50</w:t>
      </w:r>
      <w:r w:rsidRPr="003F033C">
        <w:rPr>
          <w:color w:val="001F00"/>
          <w:spacing w:val="6"/>
          <w:sz w:val="20"/>
          <w:szCs w:val="20"/>
        </w:rPr>
        <w:t>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1F4B7C" w:rsidRPr="009874DD" w:rsidRDefault="001F4B7C" w:rsidP="001F4B7C">
      <w:pPr>
        <w:spacing w:before="100" w:beforeAutospacing="1" w:after="100" w:afterAutospacing="1" w:line="320" w:lineRule="atLeast"/>
        <w:ind w:left="720" w:right="426" w:hanging="720"/>
        <w:contextualSpacing/>
        <w:jc w:val="both"/>
        <w:outlineLvl w:val="0"/>
      </w:pPr>
      <w:r w:rsidRPr="009874DD">
        <w:t>(1)(a)</w:t>
      </w:r>
      <w:r w:rsidRPr="009874DD">
        <w:tab/>
        <w:t xml:space="preserve">The average percentage water loss per annum in terms of the allocation to the Great Fish River Water Users Association in terms of the allocation is as follows: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975"/>
        <w:gridCol w:w="3045"/>
      </w:tblGrid>
      <w:tr w:rsidR="001F4B7C" w:rsidRPr="009874DD" w:rsidTr="009301DF">
        <w:tc>
          <w:tcPr>
            <w:tcW w:w="2769"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Annual allocation (Mm</w:t>
            </w:r>
            <w:r w:rsidRPr="00D33A96">
              <w:rPr>
                <w:b/>
                <w:vertAlign w:val="superscript"/>
              </w:rPr>
              <w:t xml:space="preserve">3 </w:t>
            </w:r>
            <w:r w:rsidRPr="00D33A96">
              <w:rPr>
                <w:b/>
              </w:rPr>
              <w:t>)</w:t>
            </w:r>
          </w:p>
        </w:tc>
        <w:tc>
          <w:tcPr>
            <w:tcW w:w="2975"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Average annual water loss (Mm</w:t>
            </w:r>
            <w:r w:rsidRPr="00D33A96">
              <w:rPr>
                <w:b/>
                <w:vertAlign w:val="superscript"/>
              </w:rPr>
              <w:t>3</w:t>
            </w:r>
            <w:r w:rsidRPr="00D33A96">
              <w:rPr>
                <w:b/>
              </w:rPr>
              <w:t>)</w:t>
            </w:r>
          </w:p>
        </w:tc>
        <w:tc>
          <w:tcPr>
            <w:tcW w:w="3045"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Percentage (%) water losses</w:t>
            </w:r>
          </w:p>
        </w:tc>
      </w:tr>
      <w:tr w:rsidR="001F4B7C" w:rsidRPr="009874DD" w:rsidTr="009301DF">
        <w:tc>
          <w:tcPr>
            <w:tcW w:w="2769" w:type="dxa"/>
            <w:shd w:val="clear" w:color="auto" w:fill="auto"/>
          </w:tcPr>
          <w:p w:rsidR="001F4B7C" w:rsidRPr="009874DD" w:rsidRDefault="001F4B7C" w:rsidP="009301DF">
            <w:pPr>
              <w:spacing w:before="100" w:beforeAutospacing="1" w:after="100" w:afterAutospacing="1" w:line="320" w:lineRule="atLeast"/>
              <w:ind w:right="426"/>
              <w:contextualSpacing/>
              <w:jc w:val="both"/>
              <w:outlineLvl w:val="0"/>
            </w:pPr>
            <w:r w:rsidRPr="009874DD">
              <w:t>426</w:t>
            </w:r>
          </w:p>
        </w:tc>
        <w:tc>
          <w:tcPr>
            <w:tcW w:w="2975" w:type="dxa"/>
            <w:shd w:val="clear" w:color="auto" w:fill="auto"/>
          </w:tcPr>
          <w:p w:rsidR="001F4B7C" w:rsidRPr="009874DD" w:rsidRDefault="001F4B7C" w:rsidP="009301DF">
            <w:pPr>
              <w:spacing w:before="100" w:beforeAutospacing="1" w:after="100" w:afterAutospacing="1" w:line="320" w:lineRule="atLeast"/>
              <w:ind w:right="426"/>
              <w:contextualSpacing/>
              <w:jc w:val="both"/>
              <w:outlineLvl w:val="0"/>
            </w:pPr>
            <w:r w:rsidRPr="009874DD">
              <w:t>106.5</w:t>
            </w:r>
          </w:p>
        </w:tc>
        <w:tc>
          <w:tcPr>
            <w:tcW w:w="3045" w:type="dxa"/>
            <w:shd w:val="clear" w:color="auto" w:fill="auto"/>
          </w:tcPr>
          <w:p w:rsidR="001F4B7C" w:rsidRPr="009874DD" w:rsidRDefault="001F4B7C" w:rsidP="009301DF">
            <w:pPr>
              <w:spacing w:before="100" w:beforeAutospacing="1" w:after="100" w:afterAutospacing="1" w:line="320" w:lineRule="atLeast"/>
              <w:ind w:right="426"/>
              <w:contextualSpacing/>
              <w:jc w:val="both"/>
              <w:outlineLvl w:val="0"/>
            </w:pPr>
            <w:r w:rsidRPr="009874DD">
              <w:t>25%</w:t>
            </w:r>
          </w:p>
        </w:tc>
      </w:tr>
    </w:tbl>
    <w:p w:rsidR="001F4B7C" w:rsidRPr="009874DD" w:rsidRDefault="001F4B7C" w:rsidP="001F4B7C">
      <w:pPr>
        <w:spacing w:before="100" w:beforeAutospacing="1" w:after="100" w:afterAutospacing="1" w:line="320" w:lineRule="atLeast"/>
        <w:ind w:left="1440" w:right="426" w:hanging="720"/>
        <w:contextualSpacing/>
        <w:jc w:val="both"/>
        <w:outlineLvl w:val="0"/>
      </w:pPr>
    </w:p>
    <w:p w:rsidR="001F4B7C" w:rsidRPr="009874DD" w:rsidRDefault="001F4B7C" w:rsidP="001F4B7C">
      <w:pPr>
        <w:spacing w:before="100" w:beforeAutospacing="1" w:after="100" w:afterAutospacing="1" w:line="320" w:lineRule="atLeast"/>
        <w:ind w:left="720" w:right="426" w:hanging="720"/>
        <w:contextualSpacing/>
        <w:jc w:val="both"/>
        <w:outlineLvl w:val="0"/>
      </w:pPr>
      <w:r w:rsidRPr="009874DD">
        <w:t>(b)</w:t>
      </w:r>
      <w:r w:rsidRPr="009874DD">
        <w:tab/>
        <w:t xml:space="preserve">The average percentage water loss per annum in terms of the allocation to the Lower Sundays River Water Users Association in terms of the allocation is as follows: </w:t>
      </w:r>
    </w:p>
    <w:p w:rsidR="001F4B7C" w:rsidRPr="009874DD" w:rsidRDefault="001F4B7C" w:rsidP="001F4B7C">
      <w:pPr>
        <w:spacing w:before="100" w:beforeAutospacing="1" w:after="100" w:afterAutospacing="1" w:line="320" w:lineRule="atLeast"/>
        <w:ind w:left="1701" w:right="426" w:hanging="992"/>
        <w:contextualSpacing/>
        <w:jc w:val="both"/>
        <w:outlineLvl w:val="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2791"/>
        <w:gridCol w:w="3301"/>
      </w:tblGrid>
      <w:tr w:rsidR="001F4B7C" w:rsidRPr="009874DD" w:rsidTr="009301DF">
        <w:tc>
          <w:tcPr>
            <w:tcW w:w="2627"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 xml:space="preserve">Annual allocation </w:t>
            </w:r>
            <w:r w:rsidRPr="00D33A96">
              <w:rPr>
                <w:b/>
              </w:rPr>
              <w:lastRenderedPageBreak/>
              <w:t>(Mm</w:t>
            </w:r>
            <w:r w:rsidRPr="00D33A96">
              <w:rPr>
                <w:b/>
                <w:vertAlign w:val="superscript"/>
              </w:rPr>
              <w:t xml:space="preserve">3 </w:t>
            </w:r>
            <w:r w:rsidRPr="00D33A96">
              <w:rPr>
                <w:b/>
              </w:rPr>
              <w:t>)</w:t>
            </w:r>
          </w:p>
        </w:tc>
        <w:tc>
          <w:tcPr>
            <w:tcW w:w="2791"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lastRenderedPageBreak/>
              <w:t xml:space="preserve">Average water loss </w:t>
            </w:r>
            <w:r w:rsidRPr="00D33A96">
              <w:rPr>
                <w:b/>
              </w:rPr>
              <w:lastRenderedPageBreak/>
              <w:t>(Mm</w:t>
            </w:r>
            <w:r w:rsidRPr="00D33A96">
              <w:rPr>
                <w:b/>
                <w:vertAlign w:val="superscript"/>
              </w:rPr>
              <w:t>3</w:t>
            </w:r>
            <w:r w:rsidRPr="00D33A96">
              <w:rPr>
                <w:b/>
              </w:rPr>
              <w:t>)</w:t>
            </w:r>
          </w:p>
        </w:tc>
        <w:tc>
          <w:tcPr>
            <w:tcW w:w="3301"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lastRenderedPageBreak/>
              <w:t xml:space="preserve">Percentage (%) Water </w:t>
            </w:r>
            <w:r w:rsidRPr="00D33A96">
              <w:rPr>
                <w:b/>
              </w:rPr>
              <w:lastRenderedPageBreak/>
              <w:t>Losses</w:t>
            </w:r>
          </w:p>
        </w:tc>
      </w:tr>
      <w:tr w:rsidR="001F4B7C" w:rsidRPr="009874DD" w:rsidTr="009301DF">
        <w:tc>
          <w:tcPr>
            <w:tcW w:w="2627" w:type="dxa"/>
            <w:shd w:val="clear" w:color="auto" w:fill="auto"/>
          </w:tcPr>
          <w:p w:rsidR="001F4B7C" w:rsidRPr="009874DD" w:rsidRDefault="001F4B7C" w:rsidP="009301DF">
            <w:pPr>
              <w:spacing w:before="100" w:beforeAutospacing="1" w:after="100" w:afterAutospacing="1" w:line="320" w:lineRule="atLeast"/>
              <w:ind w:left="1701" w:right="426" w:hanging="992"/>
              <w:contextualSpacing/>
              <w:jc w:val="both"/>
              <w:outlineLvl w:val="0"/>
            </w:pPr>
            <w:r w:rsidRPr="009874DD">
              <w:lastRenderedPageBreak/>
              <w:t xml:space="preserve">170 </w:t>
            </w:r>
          </w:p>
        </w:tc>
        <w:tc>
          <w:tcPr>
            <w:tcW w:w="2791" w:type="dxa"/>
            <w:shd w:val="clear" w:color="auto" w:fill="auto"/>
          </w:tcPr>
          <w:p w:rsidR="001F4B7C" w:rsidRPr="009874DD" w:rsidRDefault="001F4B7C" w:rsidP="009301DF">
            <w:pPr>
              <w:spacing w:before="100" w:beforeAutospacing="1" w:after="100" w:afterAutospacing="1" w:line="320" w:lineRule="atLeast"/>
              <w:ind w:left="1701" w:right="426" w:hanging="992"/>
              <w:contextualSpacing/>
              <w:jc w:val="both"/>
              <w:outlineLvl w:val="0"/>
            </w:pPr>
            <w:r w:rsidRPr="009874DD">
              <w:t>19</w:t>
            </w:r>
          </w:p>
        </w:tc>
        <w:tc>
          <w:tcPr>
            <w:tcW w:w="3301" w:type="dxa"/>
            <w:shd w:val="clear" w:color="auto" w:fill="auto"/>
          </w:tcPr>
          <w:p w:rsidR="001F4B7C" w:rsidRPr="009874DD" w:rsidRDefault="001F4B7C" w:rsidP="009301DF">
            <w:pPr>
              <w:spacing w:before="100" w:beforeAutospacing="1" w:after="100" w:afterAutospacing="1" w:line="320" w:lineRule="atLeast"/>
              <w:ind w:left="1701" w:right="426" w:hanging="992"/>
              <w:contextualSpacing/>
              <w:jc w:val="both"/>
              <w:outlineLvl w:val="0"/>
            </w:pPr>
            <w:r w:rsidRPr="009874DD">
              <w:t>11.3%</w:t>
            </w:r>
          </w:p>
        </w:tc>
      </w:tr>
    </w:tbl>
    <w:p w:rsidR="001F4B7C" w:rsidRPr="009874DD" w:rsidRDefault="001F4B7C" w:rsidP="001F4B7C">
      <w:pPr>
        <w:spacing w:before="100" w:beforeAutospacing="1" w:after="100" w:afterAutospacing="1" w:line="320" w:lineRule="atLeast"/>
        <w:ind w:left="1701" w:right="426" w:hanging="992"/>
        <w:contextualSpacing/>
        <w:jc w:val="both"/>
        <w:outlineLvl w:val="0"/>
      </w:pPr>
    </w:p>
    <w:p w:rsidR="001F4B7C" w:rsidRPr="009874DD" w:rsidRDefault="001F4B7C" w:rsidP="001F4B7C">
      <w:pPr>
        <w:spacing w:before="100" w:beforeAutospacing="1" w:after="100" w:afterAutospacing="1" w:line="320" w:lineRule="atLeast"/>
        <w:ind w:left="720" w:right="426" w:hanging="720"/>
        <w:contextualSpacing/>
        <w:jc w:val="both"/>
        <w:outlineLvl w:val="0"/>
      </w:pPr>
      <w:r w:rsidRPr="009874DD">
        <w:t xml:space="preserve">(c) </w:t>
      </w:r>
      <w:r w:rsidRPr="009874DD">
        <w:tab/>
        <w:t xml:space="preserve">The average percentage water loss per annum in terms of the allocation to the Glen Melville Dam in terms of the allocation is as follows: </w:t>
      </w:r>
    </w:p>
    <w:p w:rsidR="001F4B7C" w:rsidRPr="009874DD" w:rsidRDefault="001F4B7C" w:rsidP="001F4B7C">
      <w:pPr>
        <w:spacing w:before="100" w:beforeAutospacing="1" w:after="100" w:afterAutospacing="1" w:line="320" w:lineRule="atLeast"/>
        <w:ind w:left="1440" w:right="426" w:hanging="720"/>
        <w:contextualSpacing/>
        <w:jc w:val="both"/>
        <w:outlineLvl w:val="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3002"/>
        <w:gridCol w:w="3299"/>
      </w:tblGrid>
      <w:tr w:rsidR="001F4B7C" w:rsidRPr="009874DD" w:rsidTr="009301DF">
        <w:tc>
          <w:tcPr>
            <w:tcW w:w="2560"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Annual allocation (Mm</w:t>
            </w:r>
            <w:r w:rsidRPr="00D33A96">
              <w:rPr>
                <w:b/>
                <w:vertAlign w:val="superscript"/>
              </w:rPr>
              <w:t xml:space="preserve">3 </w:t>
            </w:r>
            <w:r w:rsidRPr="00D33A96">
              <w:rPr>
                <w:b/>
              </w:rPr>
              <w:t>)</w:t>
            </w:r>
          </w:p>
        </w:tc>
        <w:tc>
          <w:tcPr>
            <w:tcW w:w="3002"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Average annual water loss (Mm</w:t>
            </w:r>
            <w:r w:rsidRPr="00D33A96">
              <w:rPr>
                <w:b/>
                <w:vertAlign w:val="superscript"/>
              </w:rPr>
              <w:t>3</w:t>
            </w:r>
            <w:r w:rsidRPr="00D33A96">
              <w:rPr>
                <w:b/>
              </w:rPr>
              <w:t>)</w:t>
            </w:r>
          </w:p>
        </w:tc>
        <w:tc>
          <w:tcPr>
            <w:tcW w:w="3299" w:type="dxa"/>
            <w:shd w:val="clear" w:color="auto" w:fill="BFBFBF"/>
          </w:tcPr>
          <w:p w:rsidR="001F4B7C" w:rsidRPr="00D33A96" w:rsidRDefault="001F4B7C" w:rsidP="009301DF">
            <w:pPr>
              <w:spacing w:before="100" w:beforeAutospacing="1" w:after="100" w:afterAutospacing="1" w:line="320" w:lineRule="atLeast"/>
              <w:ind w:right="426"/>
              <w:contextualSpacing/>
              <w:jc w:val="both"/>
              <w:outlineLvl w:val="0"/>
              <w:rPr>
                <w:b/>
              </w:rPr>
            </w:pPr>
            <w:r w:rsidRPr="00D33A96">
              <w:rPr>
                <w:b/>
              </w:rPr>
              <w:t>Percentage (%) Water Losses</w:t>
            </w:r>
          </w:p>
        </w:tc>
      </w:tr>
      <w:tr w:rsidR="001F4B7C" w:rsidRPr="009874DD" w:rsidTr="009301DF">
        <w:tc>
          <w:tcPr>
            <w:tcW w:w="2560" w:type="dxa"/>
            <w:shd w:val="clear" w:color="auto" w:fill="auto"/>
          </w:tcPr>
          <w:p w:rsidR="001F4B7C" w:rsidRPr="009874DD" w:rsidRDefault="001F4B7C" w:rsidP="009301DF">
            <w:pPr>
              <w:spacing w:before="100" w:beforeAutospacing="1" w:after="100" w:afterAutospacing="1" w:line="320" w:lineRule="atLeast"/>
              <w:ind w:right="426"/>
              <w:contextualSpacing/>
              <w:jc w:val="both"/>
              <w:outlineLvl w:val="0"/>
            </w:pPr>
            <w:r w:rsidRPr="009874DD">
              <w:t>110</w:t>
            </w:r>
          </w:p>
        </w:tc>
        <w:tc>
          <w:tcPr>
            <w:tcW w:w="3002" w:type="dxa"/>
            <w:shd w:val="clear" w:color="auto" w:fill="auto"/>
          </w:tcPr>
          <w:p w:rsidR="001F4B7C" w:rsidRPr="009874DD" w:rsidRDefault="001F4B7C" w:rsidP="009301DF">
            <w:pPr>
              <w:spacing w:before="100" w:beforeAutospacing="1" w:after="100" w:afterAutospacing="1" w:line="320" w:lineRule="atLeast"/>
              <w:ind w:right="426"/>
              <w:contextualSpacing/>
              <w:jc w:val="both"/>
              <w:outlineLvl w:val="0"/>
            </w:pPr>
            <w:r w:rsidRPr="009874DD">
              <w:t>16.5</w:t>
            </w:r>
          </w:p>
        </w:tc>
        <w:tc>
          <w:tcPr>
            <w:tcW w:w="3299" w:type="dxa"/>
            <w:shd w:val="clear" w:color="auto" w:fill="auto"/>
          </w:tcPr>
          <w:p w:rsidR="001F4B7C" w:rsidRPr="009874DD" w:rsidRDefault="001F4B7C" w:rsidP="009301DF">
            <w:pPr>
              <w:spacing w:before="100" w:beforeAutospacing="1" w:after="100" w:afterAutospacing="1" w:line="320" w:lineRule="atLeast"/>
              <w:ind w:right="426"/>
              <w:contextualSpacing/>
              <w:jc w:val="both"/>
              <w:outlineLvl w:val="0"/>
            </w:pPr>
            <w:r w:rsidRPr="009874DD">
              <w:t>15%</w:t>
            </w:r>
          </w:p>
        </w:tc>
      </w:tr>
    </w:tbl>
    <w:p w:rsidR="001F4B7C" w:rsidRPr="009874DD" w:rsidRDefault="001F4B7C" w:rsidP="001F4B7C">
      <w:pPr>
        <w:spacing w:before="100" w:beforeAutospacing="1" w:after="100" w:afterAutospacing="1" w:line="320" w:lineRule="atLeast"/>
        <w:ind w:left="1440" w:right="426" w:hanging="720"/>
        <w:contextualSpacing/>
        <w:jc w:val="both"/>
        <w:outlineLvl w:val="0"/>
      </w:pPr>
    </w:p>
    <w:p w:rsidR="001F4B7C" w:rsidRPr="009874DD" w:rsidRDefault="001F4B7C" w:rsidP="001F4B7C">
      <w:pPr>
        <w:spacing w:before="100" w:beforeAutospacing="1" w:after="100" w:afterAutospacing="1" w:line="320" w:lineRule="atLeast"/>
        <w:ind w:left="709" w:right="426" w:hanging="709"/>
        <w:contextualSpacing/>
        <w:jc w:val="both"/>
        <w:outlineLvl w:val="0"/>
      </w:pPr>
      <w:r w:rsidRPr="009874DD">
        <w:t>(d)</w:t>
      </w:r>
      <w:r w:rsidRPr="009874DD">
        <w:tab/>
        <w:t xml:space="preserve">The average percentage water loss per annum in terms of the allocation to the Lower Fish Permit Area </w:t>
      </w:r>
      <w:r w:rsidRPr="009874DD">
        <w:rPr>
          <w:bCs/>
          <w:lang w:val="pt-BR"/>
        </w:rPr>
        <w:t>forms part of Greater Fish River Water User Association (GFRWUA), therefore GFRWUA</w:t>
      </w:r>
      <w:r>
        <w:rPr>
          <w:bCs/>
          <w:lang w:val="pt-BR"/>
        </w:rPr>
        <w:t>’s</w:t>
      </w:r>
      <w:r w:rsidRPr="009874DD">
        <w:rPr>
          <w:bCs/>
          <w:lang w:val="pt-BR"/>
        </w:rPr>
        <w:t xml:space="preserve"> water loss also incorporates </w:t>
      </w:r>
      <w:r>
        <w:rPr>
          <w:bCs/>
          <w:lang w:val="pt-BR"/>
        </w:rPr>
        <w:t xml:space="preserve">the </w:t>
      </w:r>
      <w:r w:rsidRPr="009874DD">
        <w:rPr>
          <w:bCs/>
          <w:lang w:val="pt-BR"/>
        </w:rPr>
        <w:t xml:space="preserve">Lower Fish Permit Area. </w:t>
      </w:r>
    </w:p>
    <w:p w:rsidR="001F4B7C" w:rsidRPr="009874DD" w:rsidRDefault="001F4B7C" w:rsidP="001F4B7C">
      <w:pPr>
        <w:tabs>
          <w:tab w:val="left" w:pos="540"/>
          <w:tab w:val="left" w:pos="1080"/>
        </w:tabs>
        <w:spacing w:line="320" w:lineRule="atLeast"/>
        <w:ind w:right="426"/>
        <w:contextualSpacing/>
        <w:rPr>
          <w:bCs/>
          <w:lang w:val="pt-BR"/>
        </w:rPr>
      </w:pPr>
    </w:p>
    <w:p w:rsidR="001F4B7C" w:rsidRPr="009874DD" w:rsidRDefault="001F4B7C" w:rsidP="001F4B7C">
      <w:pPr>
        <w:tabs>
          <w:tab w:val="left" w:pos="1080"/>
          <w:tab w:val="left" w:pos="1560"/>
        </w:tabs>
        <w:spacing w:line="320" w:lineRule="atLeast"/>
        <w:ind w:left="709" w:right="426" w:hanging="709"/>
        <w:contextualSpacing/>
        <w:jc w:val="both"/>
        <w:rPr>
          <w:bCs/>
          <w:lang w:val="pt-BR"/>
        </w:rPr>
      </w:pPr>
      <w:r w:rsidRPr="009874DD">
        <w:rPr>
          <w:bCs/>
          <w:lang w:val="pt-BR"/>
        </w:rPr>
        <w:t>(2)(a)</w:t>
      </w:r>
      <w:r>
        <w:rPr>
          <w:bCs/>
          <w:lang w:val="pt-BR"/>
        </w:rPr>
        <w:t>&amp;</w:t>
      </w:r>
      <w:r w:rsidRPr="009874DD">
        <w:rPr>
          <w:bCs/>
          <w:lang w:val="pt-BR"/>
        </w:rPr>
        <w:t>(b)</w:t>
      </w:r>
      <w:r>
        <w:rPr>
          <w:bCs/>
          <w:lang w:val="pt-BR"/>
        </w:rPr>
        <w:tab/>
      </w:r>
      <w:r w:rsidRPr="009874DD">
        <w:rPr>
          <w:bCs/>
          <w:lang w:val="pt-BR"/>
        </w:rPr>
        <w:t xml:space="preserve"> The short-listed Water Use Efficiency (WUE) interventions which were identified and screened as part of Water Reconciliation Strategy for the Algoa Water Supply System - Orange River Project/Nooitgedacht Low-Level Scheme are as follows:</w:t>
      </w:r>
    </w:p>
    <w:p w:rsidR="001F4B7C" w:rsidRPr="009874DD" w:rsidRDefault="001F4B7C" w:rsidP="001F4B7C">
      <w:pPr>
        <w:tabs>
          <w:tab w:val="left" w:pos="540"/>
          <w:tab w:val="left" w:pos="1080"/>
        </w:tabs>
        <w:spacing w:line="320" w:lineRule="atLeast"/>
        <w:ind w:left="540" w:right="426" w:hanging="540"/>
        <w:contextualSpacing/>
        <w:rPr>
          <w:bCs/>
          <w:lang w:val="pt-BR"/>
        </w:rPr>
      </w:pPr>
    </w:p>
    <w:p w:rsidR="001F4B7C" w:rsidRPr="009874DD" w:rsidRDefault="001F4B7C" w:rsidP="001F4B7C">
      <w:pPr>
        <w:tabs>
          <w:tab w:val="left" w:pos="709"/>
          <w:tab w:val="left" w:pos="1560"/>
        </w:tabs>
        <w:spacing w:line="320" w:lineRule="atLeast"/>
        <w:ind w:left="709" w:right="426" w:hanging="709"/>
        <w:contextualSpacing/>
        <w:jc w:val="both"/>
        <w:rPr>
          <w:bCs/>
          <w:lang w:val="pt-BR"/>
        </w:rPr>
      </w:pPr>
      <w:r w:rsidRPr="009874DD">
        <w:rPr>
          <w:bCs/>
          <w:lang w:val="pt-BR"/>
        </w:rPr>
        <w:t>(b)(i)</w:t>
      </w:r>
      <w:r w:rsidRPr="009874DD">
        <w:rPr>
          <w:bCs/>
          <w:lang w:val="pt-BR"/>
        </w:rPr>
        <w:tab/>
        <w:t>The lining of the 500 km earth canals in the GFRWUA (Intervention 1) is not recommended to be considered further for the purposes of this study, as the relative cost of water saved of this intervention is far too high. The lining of prioritised “hot spot” canal sections (about 10% of the total 500 km earth canals) is likely a more feasible option as this will potentially lead to substantial volumes of water saved at a relative lower cost. The compulsory removal of overgrown riparian vegetation in and along the GFRWUA earth canals and ongoing maintenance is recommended.</w:t>
      </w:r>
    </w:p>
    <w:p w:rsidR="001F4B7C" w:rsidRPr="009874DD" w:rsidRDefault="001F4B7C" w:rsidP="001F4B7C">
      <w:pPr>
        <w:tabs>
          <w:tab w:val="left" w:pos="1080"/>
          <w:tab w:val="left" w:pos="1985"/>
        </w:tabs>
        <w:spacing w:line="320" w:lineRule="atLeast"/>
        <w:ind w:left="1985" w:right="426" w:hanging="567"/>
        <w:contextualSpacing/>
        <w:rPr>
          <w:bCs/>
          <w:lang w:val="pt-BR"/>
        </w:rPr>
      </w:pPr>
    </w:p>
    <w:p w:rsidR="001F4B7C" w:rsidRPr="009874DD" w:rsidRDefault="001F4B7C" w:rsidP="001F4B7C">
      <w:pPr>
        <w:tabs>
          <w:tab w:val="left" w:pos="1080"/>
          <w:tab w:val="left" w:pos="1985"/>
        </w:tabs>
        <w:spacing w:line="320" w:lineRule="atLeast"/>
        <w:ind w:left="709" w:right="426" w:hanging="709"/>
        <w:contextualSpacing/>
        <w:jc w:val="both"/>
        <w:rPr>
          <w:bCs/>
          <w:lang w:val="pt-BR"/>
        </w:rPr>
      </w:pPr>
      <w:r w:rsidRPr="009874DD">
        <w:rPr>
          <w:bCs/>
          <w:lang w:val="pt-BR"/>
        </w:rPr>
        <w:t>(ii)</w:t>
      </w:r>
      <w:r w:rsidRPr="009874DD">
        <w:rPr>
          <w:bCs/>
          <w:lang w:val="pt-BR"/>
        </w:rPr>
        <w:tab/>
        <w:t xml:space="preserve">Improved measuring and monitoring in the GFRWUA and Lower Sundays River Water User Association (LSRWUA) areas of jurisdiction. Although the potential water saved as a result of the implementation of this intervention was not quantified as part of this study, this intervention will lead to improved management and operation of the system and improved compliance to water allocations and water requests made, and will potentially reduce losses in the process. </w:t>
      </w:r>
    </w:p>
    <w:p w:rsidR="001F4B7C" w:rsidRPr="009874DD" w:rsidRDefault="001F4B7C" w:rsidP="001F4B7C">
      <w:pPr>
        <w:tabs>
          <w:tab w:val="left" w:pos="1080"/>
          <w:tab w:val="left" w:pos="1985"/>
        </w:tabs>
        <w:spacing w:line="320" w:lineRule="atLeast"/>
        <w:ind w:left="1560" w:right="426" w:hanging="851"/>
        <w:contextualSpacing/>
        <w:jc w:val="both"/>
        <w:rPr>
          <w:bCs/>
          <w:lang w:val="pt-BR"/>
        </w:rPr>
      </w:pPr>
    </w:p>
    <w:p w:rsidR="001F4B7C" w:rsidRPr="009874DD" w:rsidRDefault="001F4B7C" w:rsidP="001F4B7C">
      <w:pPr>
        <w:tabs>
          <w:tab w:val="left" w:pos="1080"/>
          <w:tab w:val="left" w:pos="1985"/>
        </w:tabs>
        <w:spacing w:line="320" w:lineRule="atLeast"/>
        <w:ind w:left="1985" w:right="426" w:hanging="567"/>
        <w:contextualSpacing/>
        <w:jc w:val="both"/>
        <w:rPr>
          <w:bCs/>
          <w:lang w:val="pt-BR"/>
        </w:rPr>
      </w:pPr>
    </w:p>
    <w:p w:rsidR="001F4B7C" w:rsidRPr="009874DD" w:rsidRDefault="001F4B7C" w:rsidP="001F4B7C">
      <w:pPr>
        <w:tabs>
          <w:tab w:val="left" w:pos="1080"/>
          <w:tab w:val="left" w:pos="1985"/>
        </w:tabs>
        <w:spacing w:line="320" w:lineRule="atLeast"/>
        <w:ind w:left="709" w:right="426" w:hanging="709"/>
        <w:contextualSpacing/>
        <w:jc w:val="both"/>
        <w:rPr>
          <w:bCs/>
        </w:rPr>
      </w:pPr>
      <w:r w:rsidRPr="009874DD">
        <w:rPr>
          <w:bCs/>
          <w:lang w:val="pt-BR"/>
        </w:rPr>
        <w:t>(iii)</w:t>
      </w:r>
      <w:r>
        <w:rPr>
          <w:bCs/>
          <w:lang w:val="pt-BR"/>
        </w:rPr>
        <w:tab/>
      </w:r>
      <w:r w:rsidRPr="009874DD">
        <w:rPr>
          <w:bCs/>
          <w:lang w:val="pt-BR"/>
        </w:rPr>
        <w:t>Glen Melville Dam obtains</w:t>
      </w:r>
      <w:r w:rsidRPr="009874DD">
        <w:rPr>
          <w:bCs/>
        </w:rPr>
        <w:t xml:space="preserve"> its water from the Orange Fish River Scheme</w:t>
      </w:r>
      <w:r>
        <w:rPr>
          <w:bCs/>
        </w:rPr>
        <w:t>. It</w:t>
      </w:r>
      <w:r w:rsidRPr="009874DD">
        <w:rPr>
          <w:bCs/>
        </w:rPr>
        <w:t xml:space="preserve"> is an off-channel storage dam. Water is diverted via the Hermanuskraal Weir via the Ecca Tunnel. When Glen Melville Dam is</w:t>
      </w:r>
      <w:r>
        <w:rPr>
          <w:bCs/>
        </w:rPr>
        <w:t xml:space="preserve"> </w:t>
      </w:r>
      <w:r w:rsidRPr="009874DD">
        <w:rPr>
          <w:bCs/>
        </w:rPr>
        <w:t xml:space="preserve">at 50% of Full Supply Capacity (FSC), water is released from Elandsdrift Weir on the OFS into the Great Fish River to fill Glen Melville Dam to 100% of FSC. This operational procedure occurs 2 or 3 times per </w:t>
      </w:r>
      <w:r w:rsidRPr="009874DD">
        <w:rPr>
          <w:bCs/>
        </w:rPr>
        <w:lastRenderedPageBreak/>
        <w:t>annum</w:t>
      </w:r>
      <w:r>
        <w:rPr>
          <w:bCs/>
        </w:rPr>
        <w:t>,</w:t>
      </w:r>
      <w:r w:rsidRPr="009874DD">
        <w:rPr>
          <w:bCs/>
        </w:rPr>
        <w:t xml:space="preserve"> depending on the water usage. The GFRWUA and the LSRWUA has no inputs to the operations and maintenance of the Lower Fish Permit Area and fall directly under DWS.</w:t>
      </w:r>
    </w:p>
    <w:p w:rsidR="001F4B7C" w:rsidRPr="009874DD" w:rsidRDefault="001F4B7C" w:rsidP="001F4B7C">
      <w:pPr>
        <w:tabs>
          <w:tab w:val="left" w:pos="1985"/>
        </w:tabs>
        <w:spacing w:line="320" w:lineRule="atLeast"/>
        <w:ind w:right="426"/>
        <w:contextualSpacing/>
        <w:jc w:val="both"/>
        <w:rPr>
          <w:b/>
          <w:bCs/>
        </w:rPr>
      </w:pPr>
    </w:p>
    <w:p w:rsidR="001F4B7C" w:rsidRPr="009874DD" w:rsidRDefault="001F4B7C" w:rsidP="001F4B7C">
      <w:pPr>
        <w:tabs>
          <w:tab w:val="left" w:pos="1985"/>
        </w:tabs>
        <w:spacing w:line="320" w:lineRule="atLeast"/>
        <w:ind w:left="709" w:right="426" w:hanging="709"/>
        <w:contextualSpacing/>
        <w:jc w:val="both"/>
        <w:rPr>
          <w:bCs/>
        </w:rPr>
      </w:pPr>
      <w:r w:rsidRPr="009874DD">
        <w:rPr>
          <w:bCs/>
        </w:rPr>
        <w:t>(iv)</w:t>
      </w:r>
      <w:r>
        <w:rPr>
          <w:bCs/>
        </w:rPr>
        <w:tab/>
      </w:r>
      <w:r w:rsidRPr="009874DD">
        <w:rPr>
          <w:bCs/>
        </w:rPr>
        <w:t xml:space="preserve">The Lower Fish Permit Area forms part of Greater Fish River Water User Association (GFRWUA) and Lower Sundays River Water User Association (LSRWUA), and therefore the interventions in GRWUA and LSRWUA are applicable in Lower Fish Permit Area. </w:t>
      </w:r>
    </w:p>
    <w:p w:rsidR="001F4B7C" w:rsidRPr="009874DD" w:rsidRDefault="001F4B7C" w:rsidP="001F4B7C">
      <w:pPr>
        <w:spacing w:line="320" w:lineRule="atLeast"/>
        <w:ind w:left="720" w:right="426"/>
        <w:contextualSpacing/>
        <w:jc w:val="both"/>
        <w:rPr>
          <w:b/>
          <w:bCs/>
        </w:rPr>
      </w:pPr>
    </w:p>
    <w:p w:rsidR="001F4B7C" w:rsidRPr="009874DD" w:rsidRDefault="001F4B7C" w:rsidP="001F4B7C">
      <w:pPr>
        <w:pStyle w:val="ListParagraph"/>
        <w:spacing w:line="320" w:lineRule="atLeast"/>
        <w:ind w:left="709" w:right="426" w:hanging="709"/>
        <w:jc w:val="both"/>
        <w:rPr>
          <w:bCs/>
        </w:rPr>
      </w:pPr>
      <w:r>
        <w:rPr>
          <w:bCs/>
        </w:rPr>
        <w:t>(3)</w:t>
      </w:r>
      <w:r>
        <w:rPr>
          <w:bCs/>
        </w:rPr>
        <w:tab/>
      </w:r>
      <w:r w:rsidRPr="009874DD">
        <w:rPr>
          <w:bCs/>
        </w:rPr>
        <w:t>The Department of Water and Sanitation, through its National Water Resources Infrastructure (NWRI) branch conducts the Water Resources upgrades in respect of infrastructure related to the Great Fish River Water Users Association, Lower Sundays River Water Users Association, Glen Melville Dam and Lower Fish Permit Area. Currently, the rehabilitation of Darlington Dam is the major project that is being planned.</w:t>
      </w:r>
    </w:p>
    <w:p w:rsidR="001F4B7C" w:rsidRPr="009874DD" w:rsidRDefault="001F4B7C" w:rsidP="001F4B7C">
      <w:pPr>
        <w:tabs>
          <w:tab w:val="left" w:pos="3380"/>
        </w:tabs>
        <w:spacing w:line="320" w:lineRule="atLeast"/>
        <w:ind w:left="720" w:hanging="720"/>
        <w:jc w:val="both"/>
        <w:rPr>
          <w:rFonts w:eastAsia="Times New Roman"/>
          <w:lang w:val="en-GB" w:eastAsia="en-US"/>
        </w:rPr>
      </w:pPr>
    </w:p>
    <w:p w:rsidR="003405EC" w:rsidRPr="009874DD" w:rsidRDefault="003405EC" w:rsidP="001F4B7C">
      <w:pPr>
        <w:spacing w:before="100" w:beforeAutospacing="1" w:after="100" w:afterAutospacing="1" w:line="320" w:lineRule="atLeast"/>
        <w:ind w:left="720" w:right="426" w:hanging="720"/>
        <w:contextualSpacing/>
        <w:jc w:val="both"/>
        <w:outlineLvl w:val="0"/>
        <w:rPr>
          <w:rFonts w:eastAsia="Times New Roman"/>
          <w:b/>
          <w:lang w:val="en-GB" w:eastAsia="en-US"/>
        </w:rPr>
      </w:pPr>
    </w:p>
    <w:sectPr w:rsidR="003405EC" w:rsidRPr="009874DD"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DB" w:rsidRDefault="00541EDB" w:rsidP="00DD601E">
      <w:r>
        <w:separator/>
      </w:r>
    </w:p>
  </w:endnote>
  <w:endnote w:type="continuationSeparator" w:id="0">
    <w:p w:rsidR="00541EDB" w:rsidRDefault="00541EDB"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DB" w:rsidRDefault="00541EDB" w:rsidP="00DD601E">
      <w:r>
        <w:separator/>
      </w:r>
    </w:p>
  </w:footnote>
  <w:footnote w:type="continuationSeparator" w:id="0">
    <w:p w:rsidR="00541EDB" w:rsidRDefault="00541EDB"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C601CE">
      <w:rPr>
        <w:rFonts w:ascii="Times New Roman" w:hAnsi="Times New Roman"/>
        <w:lang w:val="en-US"/>
      </w:rPr>
      <w:t>44</w:t>
    </w:r>
    <w:r w:rsidR="009C4F12">
      <w:rPr>
        <w:rFonts w:ascii="Times New Roman" w:hAnsi="Times New Roman"/>
        <w:lang w:val="en-US"/>
      </w:rPr>
      <w:t>2</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05FE0"/>
    <w:multiLevelType w:val="hybridMultilevel"/>
    <w:tmpl w:val="62AE3B32"/>
    <w:lvl w:ilvl="0" w:tplc="136C5626">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0"/>
  </w:num>
  <w:num w:numId="6">
    <w:abstractNumId w:val="13"/>
  </w:num>
  <w:num w:numId="7">
    <w:abstractNumId w:val="14"/>
  </w:num>
  <w:num w:numId="8">
    <w:abstractNumId w:val="11"/>
  </w:num>
  <w:num w:numId="9">
    <w:abstractNumId w:val="1"/>
  </w:num>
  <w:num w:numId="10">
    <w:abstractNumId w:val="3"/>
  </w:num>
  <w:num w:numId="11">
    <w:abstractNumId w:val="12"/>
  </w:num>
  <w:num w:numId="12">
    <w:abstractNumId w:val="15"/>
  </w:num>
  <w:num w:numId="13">
    <w:abstractNumId w:val="5"/>
  </w:num>
  <w:num w:numId="14">
    <w:abstractNumId w:val="9"/>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4B7C"/>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77604"/>
    <w:rsid w:val="00282D9A"/>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05EC"/>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24B26"/>
    <w:rsid w:val="00435C84"/>
    <w:rsid w:val="00437A05"/>
    <w:rsid w:val="00446E2C"/>
    <w:rsid w:val="0045769A"/>
    <w:rsid w:val="004616CF"/>
    <w:rsid w:val="004620FD"/>
    <w:rsid w:val="0046595E"/>
    <w:rsid w:val="0046678A"/>
    <w:rsid w:val="004667CF"/>
    <w:rsid w:val="0048535C"/>
    <w:rsid w:val="00495D9F"/>
    <w:rsid w:val="004A1CE9"/>
    <w:rsid w:val="004B0CD0"/>
    <w:rsid w:val="004B6ACC"/>
    <w:rsid w:val="004B701E"/>
    <w:rsid w:val="004C4B91"/>
    <w:rsid w:val="004F58F0"/>
    <w:rsid w:val="004F7A67"/>
    <w:rsid w:val="00505109"/>
    <w:rsid w:val="005078D0"/>
    <w:rsid w:val="00513136"/>
    <w:rsid w:val="005163ED"/>
    <w:rsid w:val="005210F4"/>
    <w:rsid w:val="00521B42"/>
    <w:rsid w:val="00527FF2"/>
    <w:rsid w:val="0053166E"/>
    <w:rsid w:val="00541246"/>
    <w:rsid w:val="00541EDB"/>
    <w:rsid w:val="00541F51"/>
    <w:rsid w:val="0054455E"/>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D12F4"/>
    <w:rsid w:val="006E3121"/>
    <w:rsid w:val="006E7915"/>
    <w:rsid w:val="006E79FE"/>
    <w:rsid w:val="006F4BD2"/>
    <w:rsid w:val="006F74D3"/>
    <w:rsid w:val="007016B8"/>
    <w:rsid w:val="00701F2A"/>
    <w:rsid w:val="007024DC"/>
    <w:rsid w:val="0073418C"/>
    <w:rsid w:val="0074602B"/>
    <w:rsid w:val="00754A9C"/>
    <w:rsid w:val="00770CCC"/>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01DF"/>
    <w:rsid w:val="00932EC5"/>
    <w:rsid w:val="009453A8"/>
    <w:rsid w:val="00963846"/>
    <w:rsid w:val="00970A9C"/>
    <w:rsid w:val="00976209"/>
    <w:rsid w:val="00977AC3"/>
    <w:rsid w:val="00981E5B"/>
    <w:rsid w:val="009874DD"/>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7463"/>
    <w:rsid w:val="00A12877"/>
    <w:rsid w:val="00A15D0F"/>
    <w:rsid w:val="00A327AA"/>
    <w:rsid w:val="00A405B0"/>
    <w:rsid w:val="00A60E9A"/>
    <w:rsid w:val="00A64F04"/>
    <w:rsid w:val="00A67A1F"/>
    <w:rsid w:val="00A72685"/>
    <w:rsid w:val="00A76E09"/>
    <w:rsid w:val="00A969D0"/>
    <w:rsid w:val="00AA3355"/>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1F99"/>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7207B"/>
    <w:rsid w:val="00C81F02"/>
    <w:rsid w:val="00C84582"/>
    <w:rsid w:val="00C8500C"/>
    <w:rsid w:val="00C85B4C"/>
    <w:rsid w:val="00C87135"/>
    <w:rsid w:val="00C94323"/>
    <w:rsid w:val="00C960F0"/>
    <w:rsid w:val="00CA623B"/>
    <w:rsid w:val="00CA7375"/>
    <w:rsid w:val="00CC300F"/>
    <w:rsid w:val="00CC57BE"/>
    <w:rsid w:val="00CC6BD7"/>
    <w:rsid w:val="00CD1C6F"/>
    <w:rsid w:val="00CD748B"/>
    <w:rsid w:val="00CF2EA8"/>
    <w:rsid w:val="00D01ECE"/>
    <w:rsid w:val="00D04F0F"/>
    <w:rsid w:val="00D15CF0"/>
    <w:rsid w:val="00D1684E"/>
    <w:rsid w:val="00D200E9"/>
    <w:rsid w:val="00D33A96"/>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9CA"/>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table" w:styleId="TableGrid">
    <w:name w:val="Table Grid"/>
    <w:basedOn w:val="TableNormal"/>
    <w:uiPriority w:val="59"/>
    <w:rsid w:val="006D12F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2021-01-24T15:07:00Z</dcterms:created>
  <dcterms:modified xsi:type="dcterms:W3CDTF">2021-01-24T15:07:00Z</dcterms:modified>
</cp:coreProperties>
</file>