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9E3496"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F346CB">
        <w:rPr>
          <w:rFonts w:eastAsia="Times New Roman"/>
          <w:b/>
          <w:lang w:val="en-GB" w:eastAsia="en-US"/>
        </w:rPr>
        <w:t>2</w:t>
      </w:r>
      <w:r w:rsidR="00C601CE">
        <w:rPr>
          <w:rFonts w:eastAsia="Times New Roman"/>
          <w:b/>
          <w:lang w:val="en-GB" w:eastAsia="en-US"/>
        </w:rPr>
        <w:t>441</w:t>
      </w:r>
    </w:p>
    <w:p w:rsidR="00521B42" w:rsidRPr="00521B42" w:rsidRDefault="00521B42" w:rsidP="00521B42">
      <w:pPr>
        <w:rPr>
          <w:rFonts w:eastAsia="Times New Roman"/>
          <w:b/>
          <w:lang w:val="en-GB" w:eastAsia="en-US"/>
        </w:rPr>
      </w:pPr>
    </w:p>
    <w:p w:rsid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C601CE">
        <w:rPr>
          <w:rFonts w:eastAsia="Times New Roman"/>
          <w:b/>
          <w:lang w:val="en-GB" w:eastAsia="en-US"/>
        </w:rPr>
        <w:t>23</w:t>
      </w:r>
      <w:r w:rsidR="00586518">
        <w:rPr>
          <w:rFonts w:eastAsia="Times New Roman"/>
          <w:b/>
          <w:lang w:val="en-GB" w:eastAsia="en-US"/>
        </w:rPr>
        <w:t xml:space="preserve"> OCTOBER </w:t>
      </w:r>
      <w:r w:rsidR="00586518" w:rsidRPr="00521B42">
        <w:rPr>
          <w:rFonts w:eastAsia="Times New Roman"/>
          <w:b/>
          <w:lang w:val="en-GB" w:eastAsia="en-US"/>
        </w:rPr>
        <w:t>2020</w:t>
      </w:r>
    </w:p>
    <w:p w:rsidR="00A12877" w:rsidRDefault="00A12877" w:rsidP="00A12877">
      <w:pPr>
        <w:jc w:val="both"/>
        <w:rPr>
          <w:b/>
        </w:rPr>
      </w:pPr>
    </w:p>
    <w:p w:rsidR="00C601CE" w:rsidRPr="00D02601" w:rsidRDefault="00C601CE" w:rsidP="00C601CE">
      <w:pPr>
        <w:spacing w:before="100" w:beforeAutospacing="1" w:after="100" w:afterAutospacing="1"/>
        <w:ind w:left="720" w:hanging="720"/>
        <w:jc w:val="both"/>
        <w:outlineLvl w:val="0"/>
        <w:rPr>
          <w:b/>
        </w:rPr>
      </w:pPr>
      <w:r w:rsidRPr="00D02601">
        <w:rPr>
          <w:b/>
        </w:rPr>
        <w:t>M</w:t>
      </w:r>
      <w:r>
        <w:rPr>
          <w:b/>
        </w:rPr>
        <w:t>r A G Whitfield</w:t>
      </w:r>
      <w:r w:rsidRPr="00D02601">
        <w:rPr>
          <w:b/>
        </w:rPr>
        <w:t xml:space="preserve"> (DA) to ask the Minister of </w:t>
      </w:r>
      <w:r>
        <w:rPr>
          <w:b/>
        </w:rPr>
        <w:t>Human Settlements, Water and Sanitation</w:t>
      </w:r>
      <w:r>
        <w:rPr>
          <w:b/>
        </w:rPr>
        <w:fldChar w:fldCharType="begin"/>
      </w:r>
      <w:r>
        <w:instrText xml:space="preserve"> XE "</w:instrText>
      </w:r>
      <w:r w:rsidRPr="002F0663">
        <w:rPr>
          <w:b/>
        </w:rPr>
        <w:instrText>Human Settlements, Water and Sanitation</w:instrText>
      </w:r>
      <w:r>
        <w:instrText xml:space="preserve">" </w:instrText>
      </w:r>
      <w:r>
        <w:rPr>
          <w:b/>
        </w:rPr>
        <w:fldChar w:fldCharType="end"/>
      </w:r>
      <w:r w:rsidRPr="00D02601">
        <w:rPr>
          <w:b/>
        </w:rPr>
        <w:t>:</w:t>
      </w:r>
    </w:p>
    <w:p w:rsidR="00C601CE" w:rsidRPr="001F542F" w:rsidRDefault="00C601CE" w:rsidP="00C601CE">
      <w:pPr>
        <w:spacing w:before="100" w:beforeAutospacing="1" w:after="100" w:afterAutospacing="1"/>
        <w:ind w:left="663" w:hanging="720"/>
        <w:jc w:val="both"/>
        <w:outlineLvl w:val="0"/>
      </w:pPr>
      <w:r w:rsidRPr="001F542F">
        <w:t>(1)</w:t>
      </w:r>
      <w:r w:rsidRPr="001F542F">
        <w:tab/>
        <w:t xml:space="preserve">What is the (a) maximum capacity of the Teebus Tunnel and (b) total </w:t>
      </w:r>
      <w:r>
        <w:t xml:space="preserve">volume of </w:t>
      </w:r>
      <w:r w:rsidRPr="001F542F">
        <w:t>water being diverted from the Gariep Dam to the Fish River Valley by the Teebus tunnel per annum;</w:t>
      </w:r>
    </w:p>
    <w:p w:rsidR="00C601CE" w:rsidRPr="001F542F" w:rsidRDefault="00C601CE" w:rsidP="00C601CE">
      <w:pPr>
        <w:spacing w:before="100" w:beforeAutospacing="1" w:after="100" w:afterAutospacing="1"/>
        <w:ind w:left="663" w:hanging="720"/>
        <w:jc w:val="both"/>
        <w:outlineLvl w:val="0"/>
      </w:pPr>
      <w:r w:rsidRPr="001F542F">
        <w:t>(2)</w:t>
      </w:r>
      <w:r w:rsidRPr="001F542F">
        <w:tab/>
        <w:t>whether the Teebus tunnel is currently being utilised at maximum capacity; if not, what is the position in this regard;</w:t>
      </w:r>
      <w:r>
        <w:t xml:space="preserve"> if so, what are the relevant details;</w:t>
      </w:r>
    </w:p>
    <w:p w:rsidR="00C601CE" w:rsidRPr="003F033C" w:rsidRDefault="00C601CE" w:rsidP="002C55E9">
      <w:pPr>
        <w:spacing w:before="100" w:beforeAutospacing="1" w:after="100" w:afterAutospacing="1"/>
        <w:ind w:left="663" w:hanging="720"/>
        <w:jc w:val="both"/>
        <w:outlineLvl w:val="0"/>
        <w:rPr>
          <w:color w:val="001F00"/>
          <w:spacing w:val="6"/>
          <w:sz w:val="20"/>
          <w:szCs w:val="20"/>
        </w:rPr>
      </w:pPr>
      <w:r w:rsidRPr="001F542F">
        <w:t>(3)</w:t>
      </w:r>
      <w:r w:rsidRPr="001F542F">
        <w:tab/>
        <w:t xml:space="preserve">what is the total </w:t>
      </w:r>
      <w:r>
        <w:t xml:space="preserve">volume of </w:t>
      </w:r>
      <w:r w:rsidRPr="001F542F">
        <w:t>water from the scheme that has been allocated per annum to the (a) Great Fish River Water Users Association, (b) Lower Sundays River Water Users Association, (c) Glen Melville Dam and (d) Lower Fish Permit Area?</w:t>
      </w:r>
      <w:r w:rsidRPr="001F542F">
        <w:rPr>
          <w:color w:val="001F00"/>
          <w:spacing w:val="6"/>
        </w:rPr>
        <w:tab/>
      </w:r>
      <w:r>
        <w:rPr>
          <w:color w:val="001F00"/>
          <w:spacing w:val="6"/>
        </w:rPr>
        <w:t xml:space="preserve">         </w:t>
      </w:r>
      <w:r w:rsidRPr="003F033C">
        <w:rPr>
          <w:color w:val="001F00"/>
          <w:spacing w:val="6"/>
          <w:sz w:val="20"/>
          <w:szCs w:val="20"/>
        </w:rPr>
        <w:t>NW304</w:t>
      </w:r>
      <w:r>
        <w:rPr>
          <w:color w:val="001F00"/>
          <w:spacing w:val="6"/>
          <w:sz w:val="20"/>
          <w:szCs w:val="20"/>
        </w:rPr>
        <w:t>9</w:t>
      </w:r>
      <w:r w:rsidRPr="003F033C">
        <w:rPr>
          <w:color w:val="001F00"/>
          <w:spacing w:val="6"/>
          <w:sz w:val="20"/>
          <w:szCs w:val="20"/>
        </w:rPr>
        <w:t>E</w:t>
      </w:r>
    </w:p>
    <w:p w:rsidR="00521B42" w:rsidRDefault="00521B42" w:rsidP="00244482">
      <w:pPr>
        <w:tabs>
          <w:tab w:val="left" w:pos="3380"/>
        </w:tabs>
        <w:spacing w:line="336" w:lineRule="auto"/>
        <w:ind w:left="720" w:hanging="720"/>
        <w:jc w:val="both"/>
        <w:rPr>
          <w:rFonts w:eastAsia="Times New Roman"/>
          <w:b/>
          <w:lang w:val="en-GB" w:eastAsia="en-US"/>
        </w:rPr>
      </w:pPr>
      <w:r w:rsidRPr="00521B42">
        <w:rPr>
          <w:rFonts w:eastAsia="Times New Roman"/>
          <w:b/>
          <w:lang w:val="en-GB" w:eastAsia="en-US"/>
        </w:rPr>
        <w:t>REPLY:</w:t>
      </w:r>
    </w:p>
    <w:p w:rsidR="00C602C0" w:rsidRPr="00E23C52" w:rsidRDefault="00C602C0" w:rsidP="00C602C0">
      <w:pPr>
        <w:pStyle w:val="ListParagraph"/>
        <w:spacing w:before="240" w:line="320" w:lineRule="atLeast"/>
        <w:ind w:left="0"/>
        <w:jc w:val="both"/>
      </w:pPr>
      <w:r w:rsidRPr="00E23C52">
        <w:t xml:space="preserve">(1)(a) </w:t>
      </w:r>
      <w:r w:rsidRPr="00E23C52">
        <w:tab/>
        <w:t>The maximum capacity of the Teebus Tunnel is 40 m</w:t>
      </w:r>
      <w:r w:rsidRPr="00E23C52">
        <w:rPr>
          <w:vertAlign w:val="superscript"/>
        </w:rPr>
        <w:t>3</w:t>
      </w:r>
      <w:r w:rsidRPr="00E23C52">
        <w:t>/s.</w:t>
      </w:r>
    </w:p>
    <w:p w:rsidR="00C602C0" w:rsidRPr="00E23C52" w:rsidRDefault="00C602C0" w:rsidP="00C602C0">
      <w:pPr>
        <w:pStyle w:val="ListParagraph"/>
        <w:spacing w:before="240" w:line="320" w:lineRule="atLeast"/>
        <w:ind w:left="1418" w:hanging="709"/>
        <w:jc w:val="both"/>
      </w:pPr>
    </w:p>
    <w:p w:rsidR="00C602C0" w:rsidRPr="00E23C52" w:rsidRDefault="00C602C0" w:rsidP="00C602C0">
      <w:pPr>
        <w:spacing w:line="320" w:lineRule="atLeast"/>
        <w:ind w:left="720" w:hanging="720"/>
        <w:jc w:val="both"/>
      </w:pPr>
      <w:r w:rsidRPr="00E23C52">
        <w:t>(b)</w:t>
      </w:r>
      <w:r w:rsidRPr="00E23C52">
        <w:tab/>
        <w:t xml:space="preserve">The volumes being diverted vary per operational year. The table below indicates </w:t>
      </w:r>
      <w:r>
        <w:t xml:space="preserve">the </w:t>
      </w:r>
      <w:r w:rsidRPr="00E23C52">
        <w:t>volumes (million m</w:t>
      </w:r>
      <w:r w:rsidRPr="00E23C52">
        <w:rPr>
          <w:vertAlign w:val="superscript"/>
        </w:rPr>
        <w:t>3</w:t>
      </w:r>
      <w:r w:rsidRPr="00E23C52">
        <w:t>/annum) diverted over the past six years:</w:t>
      </w:r>
    </w:p>
    <w:p w:rsidR="00C602C0" w:rsidRPr="00E23C52" w:rsidRDefault="00C602C0" w:rsidP="00C602C0">
      <w:pPr>
        <w:spacing w:line="320" w:lineRule="atLeast"/>
        <w:ind w:left="720" w:hanging="720"/>
        <w:jc w:val="both"/>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3"/>
        <w:gridCol w:w="1389"/>
        <w:gridCol w:w="1389"/>
        <w:gridCol w:w="1318"/>
        <w:gridCol w:w="1318"/>
        <w:gridCol w:w="1318"/>
        <w:gridCol w:w="894"/>
      </w:tblGrid>
      <w:tr w:rsidR="00C602C0" w:rsidRPr="00E23C52" w:rsidTr="003115B9">
        <w:trPr>
          <w:trHeight w:val="494"/>
        </w:trPr>
        <w:tc>
          <w:tcPr>
            <w:tcW w:w="1163" w:type="dxa"/>
            <w:shd w:val="clear" w:color="auto" w:fill="E7E6E6"/>
          </w:tcPr>
          <w:p w:rsidR="00C602C0" w:rsidRPr="002C354E" w:rsidRDefault="00C602C0" w:rsidP="003115B9">
            <w:pPr>
              <w:spacing w:line="320" w:lineRule="atLeast"/>
              <w:jc w:val="both"/>
              <w:rPr>
                <w:b/>
              </w:rPr>
            </w:pPr>
            <w:r w:rsidRPr="002C354E">
              <w:rPr>
                <w:b/>
              </w:rPr>
              <w:t>Year</w:t>
            </w:r>
          </w:p>
        </w:tc>
        <w:tc>
          <w:tcPr>
            <w:tcW w:w="1389" w:type="dxa"/>
            <w:shd w:val="clear" w:color="auto" w:fill="E7E6E6"/>
          </w:tcPr>
          <w:p w:rsidR="00C602C0" w:rsidRPr="002C354E" w:rsidRDefault="00C602C0" w:rsidP="003115B9">
            <w:pPr>
              <w:spacing w:line="320" w:lineRule="atLeast"/>
              <w:jc w:val="both"/>
              <w:rPr>
                <w:b/>
              </w:rPr>
            </w:pPr>
            <w:r w:rsidRPr="002C354E">
              <w:rPr>
                <w:b/>
              </w:rPr>
              <w:t>2014-2015</w:t>
            </w:r>
          </w:p>
        </w:tc>
        <w:tc>
          <w:tcPr>
            <w:tcW w:w="1389" w:type="dxa"/>
            <w:shd w:val="clear" w:color="auto" w:fill="E7E6E6"/>
          </w:tcPr>
          <w:p w:rsidR="00C602C0" w:rsidRPr="002C354E" w:rsidRDefault="00C602C0" w:rsidP="003115B9">
            <w:pPr>
              <w:spacing w:line="320" w:lineRule="atLeast"/>
              <w:jc w:val="both"/>
              <w:rPr>
                <w:b/>
              </w:rPr>
            </w:pPr>
            <w:r w:rsidRPr="002C354E">
              <w:rPr>
                <w:b/>
              </w:rPr>
              <w:t>2015-2016</w:t>
            </w:r>
          </w:p>
        </w:tc>
        <w:tc>
          <w:tcPr>
            <w:tcW w:w="1318" w:type="dxa"/>
            <w:shd w:val="clear" w:color="auto" w:fill="E7E6E6"/>
          </w:tcPr>
          <w:p w:rsidR="00C602C0" w:rsidRPr="002C354E" w:rsidRDefault="00C602C0" w:rsidP="003115B9">
            <w:pPr>
              <w:spacing w:line="320" w:lineRule="atLeast"/>
              <w:jc w:val="both"/>
              <w:rPr>
                <w:b/>
              </w:rPr>
            </w:pPr>
            <w:r w:rsidRPr="002C354E">
              <w:rPr>
                <w:b/>
              </w:rPr>
              <w:t>2016-2017</w:t>
            </w:r>
          </w:p>
        </w:tc>
        <w:tc>
          <w:tcPr>
            <w:tcW w:w="1318" w:type="dxa"/>
            <w:shd w:val="clear" w:color="auto" w:fill="E7E6E6"/>
          </w:tcPr>
          <w:p w:rsidR="00C602C0" w:rsidRPr="002C354E" w:rsidRDefault="00C602C0" w:rsidP="003115B9">
            <w:pPr>
              <w:spacing w:line="320" w:lineRule="atLeast"/>
              <w:jc w:val="both"/>
              <w:rPr>
                <w:b/>
              </w:rPr>
            </w:pPr>
            <w:r w:rsidRPr="002C354E">
              <w:rPr>
                <w:b/>
              </w:rPr>
              <w:t>2017-2018</w:t>
            </w:r>
          </w:p>
        </w:tc>
        <w:tc>
          <w:tcPr>
            <w:tcW w:w="1318" w:type="dxa"/>
            <w:shd w:val="clear" w:color="auto" w:fill="E7E6E6"/>
          </w:tcPr>
          <w:p w:rsidR="00C602C0" w:rsidRPr="002C354E" w:rsidRDefault="00C602C0" w:rsidP="003115B9">
            <w:pPr>
              <w:spacing w:line="320" w:lineRule="atLeast"/>
              <w:jc w:val="both"/>
              <w:rPr>
                <w:b/>
              </w:rPr>
            </w:pPr>
            <w:r w:rsidRPr="002C354E">
              <w:rPr>
                <w:b/>
              </w:rPr>
              <w:t>2018-2019</w:t>
            </w:r>
          </w:p>
        </w:tc>
        <w:tc>
          <w:tcPr>
            <w:tcW w:w="894" w:type="dxa"/>
            <w:shd w:val="clear" w:color="auto" w:fill="E7E6E6"/>
          </w:tcPr>
          <w:p w:rsidR="00C602C0" w:rsidRPr="002C354E" w:rsidRDefault="00C602C0" w:rsidP="003115B9">
            <w:pPr>
              <w:spacing w:line="320" w:lineRule="atLeast"/>
              <w:jc w:val="both"/>
              <w:rPr>
                <w:b/>
              </w:rPr>
            </w:pPr>
            <w:r w:rsidRPr="002C354E">
              <w:rPr>
                <w:b/>
              </w:rPr>
              <w:t>2019-2020</w:t>
            </w:r>
          </w:p>
        </w:tc>
      </w:tr>
      <w:tr w:rsidR="00C602C0" w:rsidRPr="00E23C52" w:rsidTr="003115B9">
        <w:tc>
          <w:tcPr>
            <w:tcW w:w="1163" w:type="dxa"/>
            <w:shd w:val="clear" w:color="auto" w:fill="auto"/>
          </w:tcPr>
          <w:p w:rsidR="00C602C0" w:rsidRPr="00E23C52" w:rsidRDefault="00C602C0" w:rsidP="003115B9">
            <w:pPr>
              <w:spacing w:line="320" w:lineRule="atLeast"/>
              <w:jc w:val="both"/>
            </w:pPr>
            <w:r w:rsidRPr="00E23C52">
              <w:t>Volume Million m</w:t>
            </w:r>
            <w:r w:rsidRPr="002C354E">
              <w:rPr>
                <w:vertAlign w:val="superscript"/>
              </w:rPr>
              <w:t>3</w:t>
            </w:r>
            <w:r w:rsidRPr="00E23C52">
              <w:t>/a</w:t>
            </w:r>
          </w:p>
        </w:tc>
        <w:tc>
          <w:tcPr>
            <w:tcW w:w="1389" w:type="dxa"/>
            <w:shd w:val="clear" w:color="auto" w:fill="auto"/>
          </w:tcPr>
          <w:p w:rsidR="00C602C0" w:rsidRPr="00E23C52" w:rsidRDefault="00C602C0" w:rsidP="003115B9">
            <w:pPr>
              <w:spacing w:line="320" w:lineRule="atLeast"/>
              <w:jc w:val="both"/>
            </w:pPr>
            <w:r w:rsidRPr="00E23C52">
              <w:t>757</w:t>
            </w:r>
          </w:p>
        </w:tc>
        <w:tc>
          <w:tcPr>
            <w:tcW w:w="1389" w:type="dxa"/>
            <w:shd w:val="clear" w:color="auto" w:fill="auto"/>
          </w:tcPr>
          <w:p w:rsidR="00C602C0" w:rsidRPr="00E23C52" w:rsidRDefault="00C602C0" w:rsidP="003115B9">
            <w:pPr>
              <w:spacing w:line="320" w:lineRule="atLeast"/>
              <w:jc w:val="both"/>
            </w:pPr>
            <w:r w:rsidRPr="00E23C52">
              <w:t>779</w:t>
            </w:r>
          </w:p>
        </w:tc>
        <w:tc>
          <w:tcPr>
            <w:tcW w:w="1318" w:type="dxa"/>
            <w:shd w:val="clear" w:color="auto" w:fill="auto"/>
          </w:tcPr>
          <w:p w:rsidR="00C602C0" w:rsidRPr="00E23C52" w:rsidRDefault="00C602C0" w:rsidP="003115B9">
            <w:pPr>
              <w:spacing w:line="320" w:lineRule="atLeast"/>
              <w:jc w:val="both"/>
            </w:pPr>
            <w:r w:rsidRPr="00E23C52">
              <w:t>756</w:t>
            </w:r>
          </w:p>
        </w:tc>
        <w:tc>
          <w:tcPr>
            <w:tcW w:w="1318" w:type="dxa"/>
            <w:shd w:val="clear" w:color="auto" w:fill="auto"/>
          </w:tcPr>
          <w:p w:rsidR="00C602C0" w:rsidRPr="00E23C52" w:rsidRDefault="00C602C0" w:rsidP="003115B9">
            <w:pPr>
              <w:spacing w:line="320" w:lineRule="atLeast"/>
              <w:jc w:val="both"/>
            </w:pPr>
            <w:r w:rsidRPr="00E23C52">
              <w:t>727</w:t>
            </w:r>
          </w:p>
        </w:tc>
        <w:tc>
          <w:tcPr>
            <w:tcW w:w="1318" w:type="dxa"/>
            <w:shd w:val="clear" w:color="auto" w:fill="auto"/>
          </w:tcPr>
          <w:p w:rsidR="00C602C0" w:rsidRPr="00E23C52" w:rsidRDefault="00C602C0" w:rsidP="003115B9">
            <w:pPr>
              <w:spacing w:line="320" w:lineRule="atLeast"/>
              <w:jc w:val="both"/>
            </w:pPr>
            <w:r w:rsidRPr="00E23C52">
              <w:t>774</w:t>
            </w:r>
          </w:p>
        </w:tc>
        <w:tc>
          <w:tcPr>
            <w:tcW w:w="894" w:type="dxa"/>
            <w:shd w:val="clear" w:color="auto" w:fill="auto"/>
          </w:tcPr>
          <w:p w:rsidR="00C602C0" w:rsidRPr="00E23C52" w:rsidRDefault="00C602C0" w:rsidP="003115B9">
            <w:pPr>
              <w:spacing w:line="320" w:lineRule="atLeast"/>
              <w:jc w:val="both"/>
            </w:pPr>
            <w:r w:rsidRPr="00E23C52">
              <w:t>801</w:t>
            </w:r>
          </w:p>
        </w:tc>
      </w:tr>
    </w:tbl>
    <w:p w:rsidR="00C602C0" w:rsidRPr="00E23C52" w:rsidRDefault="00C602C0" w:rsidP="00C602C0">
      <w:pPr>
        <w:spacing w:line="320" w:lineRule="atLeast"/>
        <w:jc w:val="both"/>
      </w:pPr>
    </w:p>
    <w:p w:rsidR="00C602C0" w:rsidRPr="00E23C52" w:rsidRDefault="00C602C0" w:rsidP="00C602C0">
      <w:pPr>
        <w:pStyle w:val="ListParagraph"/>
        <w:spacing w:line="320" w:lineRule="atLeast"/>
        <w:ind w:left="709" w:hanging="709"/>
        <w:jc w:val="both"/>
      </w:pPr>
      <w:r w:rsidRPr="00E23C52">
        <w:lastRenderedPageBreak/>
        <w:t>(2)</w:t>
      </w:r>
      <w:r w:rsidRPr="00E23C52">
        <w:tab/>
        <w:t>The maximum transfer capacity through the tunnel is only implemented when both Gariep and Van Der Kloof dams are spilling in order to maximise the use of water resources and improve the water quality. The monthly transfers are based on the water requests from the Great Fish Water Users Association (GFWUA), Lower Sundays River Water Users Association (LSRWUA) coupled with domestic water use and calculated dilution requirements to maintain the acceptable water quality provided to the LSRWUA.</w:t>
      </w:r>
    </w:p>
    <w:p w:rsidR="00C602C0" w:rsidRPr="00E23C52" w:rsidRDefault="00C602C0" w:rsidP="00C602C0">
      <w:pPr>
        <w:spacing w:line="320" w:lineRule="atLeast"/>
        <w:ind w:left="720" w:hanging="720"/>
        <w:jc w:val="both"/>
      </w:pPr>
    </w:p>
    <w:p w:rsidR="00C602C0" w:rsidRPr="00E23C52" w:rsidRDefault="00C602C0" w:rsidP="00C602C0">
      <w:pPr>
        <w:pStyle w:val="ListParagraph"/>
        <w:spacing w:line="320" w:lineRule="atLeast"/>
        <w:ind w:left="0"/>
        <w:jc w:val="both"/>
      </w:pPr>
      <w:r w:rsidRPr="00E23C52">
        <w:t>(3)(a)</w:t>
      </w:r>
      <w:r w:rsidRPr="00E23C52">
        <w:tab/>
        <w:t xml:space="preserve">The total volume of water from the scheme that has been allocated per annum </w:t>
      </w:r>
      <w:r>
        <w:t xml:space="preserve">is </w:t>
      </w:r>
      <w:r w:rsidRPr="00E23C52">
        <w:t>as follows:</w:t>
      </w:r>
    </w:p>
    <w:p w:rsidR="00C602C0" w:rsidRPr="00E23C52" w:rsidRDefault="00C602C0" w:rsidP="00C602C0">
      <w:pPr>
        <w:spacing w:line="320" w:lineRule="atLeast"/>
        <w:ind w:left="360"/>
        <w:jc w:val="both"/>
      </w:pPr>
    </w:p>
    <w:p w:rsidR="00C602C0" w:rsidRPr="00E23C52" w:rsidRDefault="00C602C0" w:rsidP="00C602C0">
      <w:pPr>
        <w:pStyle w:val="ListParagraph"/>
        <w:numPr>
          <w:ilvl w:val="0"/>
          <w:numId w:val="17"/>
        </w:numPr>
        <w:spacing w:line="320" w:lineRule="atLeast"/>
        <w:ind w:left="1097"/>
        <w:jc w:val="both"/>
      </w:pPr>
      <w:r w:rsidRPr="00E23C52">
        <w:t>Great Fish River Water Users Association: The farms in the northern part of the valley between Teebus and Elandsdrift have an allocation of 13 500 m</w:t>
      </w:r>
      <w:r w:rsidRPr="00E23C52">
        <w:rPr>
          <w:vertAlign w:val="superscript"/>
        </w:rPr>
        <w:t>3</w:t>
      </w:r>
      <w:r w:rsidRPr="00E23C52">
        <w:t>/ha/a, while those between Elandsdrift and Middleton receive 12 500 m</w:t>
      </w:r>
      <w:r w:rsidRPr="00E23C52">
        <w:rPr>
          <w:vertAlign w:val="superscript"/>
        </w:rPr>
        <w:t>3</w:t>
      </w:r>
      <w:r w:rsidRPr="00E23C52">
        <w:t>/ha/a, with a total water allocation of 426 million m</w:t>
      </w:r>
      <w:r w:rsidRPr="00E23C52">
        <w:rPr>
          <w:vertAlign w:val="superscript"/>
        </w:rPr>
        <w:t>3</w:t>
      </w:r>
      <w:r w:rsidRPr="00E23C52">
        <w:t>/a for the scheduled area of 32 565 ha. The allocations apply at “</w:t>
      </w:r>
      <w:r w:rsidRPr="00E23C52">
        <w:rPr>
          <w:i/>
          <w:iCs/>
        </w:rPr>
        <w:t xml:space="preserve">farm gate”. </w:t>
      </w:r>
      <w:r w:rsidRPr="00E23C52">
        <w:t>An additional provision of 25% (106 million m</w:t>
      </w:r>
      <w:r w:rsidRPr="00E23C52">
        <w:rPr>
          <w:vertAlign w:val="superscript"/>
        </w:rPr>
        <w:t>3</w:t>
      </w:r>
      <w:r w:rsidRPr="00E23C52">
        <w:t>/a) has been allocated for canal distribution losses.</w:t>
      </w:r>
    </w:p>
    <w:p w:rsidR="00C602C0" w:rsidRPr="00E23C52" w:rsidRDefault="00C602C0" w:rsidP="00C602C0">
      <w:pPr>
        <w:pStyle w:val="ListParagraph"/>
        <w:spacing w:line="320" w:lineRule="atLeast"/>
        <w:ind w:left="1843"/>
        <w:jc w:val="both"/>
      </w:pPr>
    </w:p>
    <w:p w:rsidR="00C602C0" w:rsidRPr="00E23C52" w:rsidRDefault="00C602C0" w:rsidP="00C602C0">
      <w:pPr>
        <w:spacing w:line="320" w:lineRule="atLeast"/>
        <w:ind w:left="709" w:hanging="709"/>
        <w:jc w:val="both"/>
      </w:pPr>
      <w:r w:rsidRPr="00E23C52">
        <w:t>(b)</w:t>
      </w:r>
      <w:r w:rsidRPr="00E23C52">
        <w:tab/>
        <w:t>For the Lower Sundays River Water Users Association, the current scheduled area for the LSRWUA is 18 845 ha at 9 000 m</w:t>
      </w:r>
      <w:r w:rsidRPr="00E23C52">
        <w:rPr>
          <w:vertAlign w:val="superscript"/>
        </w:rPr>
        <w:t>3</w:t>
      </w:r>
      <w:r w:rsidRPr="00E23C52">
        <w:t>/ha/a (170 million m</w:t>
      </w:r>
      <w:r w:rsidRPr="00E23C52">
        <w:rPr>
          <w:vertAlign w:val="superscript"/>
        </w:rPr>
        <w:t>3</w:t>
      </w:r>
      <w:r w:rsidRPr="00E23C52">
        <w:t>/a).</w:t>
      </w:r>
    </w:p>
    <w:p w:rsidR="00C602C0" w:rsidRPr="00E23C52" w:rsidRDefault="00C602C0" w:rsidP="00C602C0">
      <w:pPr>
        <w:spacing w:line="320" w:lineRule="atLeast"/>
        <w:jc w:val="both"/>
      </w:pPr>
    </w:p>
    <w:p w:rsidR="00C602C0" w:rsidRPr="00E23C52" w:rsidRDefault="00C602C0" w:rsidP="00C602C0">
      <w:pPr>
        <w:spacing w:line="320" w:lineRule="atLeast"/>
        <w:jc w:val="both"/>
      </w:pPr>
      <w:r w:rsidRPr="00E23C52">
        <w:t>(c)</w:t>
      </w:r>
      <w:r w:rsidRPr="00E23C52">
        <w:tab/>
        <w:t>For the Glen Melville Dam 1.1 million m</w:t>
      </w:r>
      <w:r w:rsidRPr="00E23C52">
        <w:rPr>
          <w:vertAlign w:val="superscript"/>
        </w:rPr>
        <w:t>3</w:t>
      </w:r>
      <w:r w:rsidRPr="00E23C52">
        <w:t>/a is allocated to supply Grahamstown.</w:t>
      </w:r>
    </w:p>
    <w:p w:rsidR="00C602C0" w:rsidRPr="00E23C52" w:rsidRDefault="00C602C0" w:rsidP="00C602C0">
      <w:pPr>
        <w:spacing w:line="320" w:lineRule="atLeast"/>
        <w:jc w:val="both"/>
      </w:pPr>
    </w:p>
    <w:p w:rsidR="00C602C0" w:rsidRPr="00E23C52" w:rsidRDefault="00C602C0" w:rsidP="00C602C0">
      <w:pPr>
        <w:spacing w:line="320" w:lineRule="atLeast"/>
        <w:ind w:left="720" w:hanging="720"/>
        <w:jc w:val="both"/>
      </w:pPr>
      <w:r w:rsidRPr="00E23C52">
        <w:t>(d)</w:t>
      </w:r>
      <w:r w:rsidRPr="00E23C52">
        <w:tab/>
        <w:t>The Lower Fish Permit Area is part of the Great Fish River Water Users Association with the scheduled area of 32 565 ha, amounting to an allocation of 426 million m3/a.</w:t>
      </w:r>
    </w:p>
    <w:p w:rsidR="00C602C0" w:rsidRDefault="00C602C0" w:rsidP="00C602C0">
      <w:pPr>
        <w:spacing w:line="320" w:lineRule="atLeast"/>
        <w:jc w:val="both"/>
        <w:rPr>
          <w:rFonts w:ascii="Arial" w:hAnsi="Arial" w:cs="Arial"/>
          <w:sz w:val="22"/>
          <w:szCs w:val="22"/>
        </w:rPr>
      </w:pPr>
    </w:p>
    <w:p w:rsidR="00C602C0" w:rsidRDefault="00C602C0" w:rsidP="00C602C0">
      <w:pPr>
        <w:tabs>
          <w:tab w:val="left" w:pos="3380"/>
        </w:tabs>
        <w:spacing w:line="320" w:lineRule="atLeast"/>
        <w:ind w:left="720" w:hanging="720"/>
        <w:jc w:val="both"/>
        <w:rPr>
          <w:rFonts w:eastAsia="Times New Roman"/>
          <w:b/>
          <w:lang w:val="en-GB" w:eastAsia="en-US"/>
        </w:rPr>
      </w:pPr>
    </w:p>
    <w:p w:rsidR="003405EC" w:rsidRDefault="003405EC" w:rsidP="00C602C0">
      <w:pPr>
        <w:pStyle w:val="ListParagraph"/>
        <w:spacing w:before="240" w:line="320" w:lineRule="atLeast"/>
        <w:ind w:left="0"/>
        <w:jc w:val="both"/>
        <w:rPr>
          <w:rFonts w:eastAsia="Times New Roman"/>
          <w:b/>
          <w:lang w:val="en-GB" w:eastAsia="en-US"/>
        </w:rPr>
      </w:pPr>
    </w:p>
    <w:sectPr w:rsidR="003405EC" w:rsidSect="00854762">
      <w:headerReference w:type="default" r:id="rId8"/>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F8A" w:rsidRDefault="00796F8A" w:rsidP="00DD601E">
      <w:r>
        <w:separator/>
      </w:r>
    </w:p>
  </w:endnote>
  <w:endnote w:type="continuationSeparator" w:id="0">
    <w:p w:rsidR="00796F8A" w:rsidRDefault="00796F8A"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F8A" w:rsidRDefault="00796F8A" w:rsidP="00DD601E">
      <w:r>
        <w:separator/>
      </w:r>
    </w:p>
  </w:footnote>
  <w:footnote w:type="continuationSeparator" w:id="0">
    <w:p w:rsidR="00796F8A" w:rsidRDefault="00796F8A"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F346CB">
      <w:rPr>
        <w:rFonts w:ascii="Times New Roman" w:hAnsi="Times New Roman"/>
        <w:lang w:val="en-US"/>
      </w:rPr>
      <w:t>2</w:t>
    </w:r>
    <w:r w:rsidR="00C601CE">
      <w:rPr>
        <w:rFonts w:ascii="Times New Roman" w:hAnsi="Times New Roman"/>
        <w:lang w:val="en-US"/>
      </w:rPr>
      <w:t>441</w:t>
    </w:r>
    <w:r w:rsidR="00446E2C">
      <w:rPr>
        <w:rFonts w:ascii="Times New Roman" w:hAnsi="Times New Roman"/>
        <w:lang w:val="en-US"/>
      </w:rPr>
      <w:t xml:space="preserve"> </w:t>
    </w:r>
    <w:r w:rsidR="00521B42" w:rsidRPr="000544CB">
      <w:rPr>
        <w:rFonts w:ascii="Times New Roman" w:hAnsi="Times New Roman"/>
        <w:lang w:val="en-US"/>
      </w:rPr>
      <w:t xml:space="preserve">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501FD"/>
    <w:multiLevelType w:val="hybridMultilevel"/>
    <w:tmpl w:val="221AA1F8"/>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2673DB"/>
    <w:multiLevelType w:val="hybridMultilevel"/>
    <w:tmpl w:val="ED1AAF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A06AEB"/>
    <w:multiLevelType w:val="multilevel"/>
    <w:tmpl w:val="085C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860BEC"/>
    <w:multiLevelType w:val="multilevel"/>
    <w:tmpl w:val="31FE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64F3EDB"/>
    <w:multiLevelType w:val="hybridMultilevel"/>
    <w:tmpl w:val="DEE212E2"/>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2">
    <w:nsid w:val="67E04692"/>
    <w:multiLevelType w:val="hybridMultilevel"/>
    <w:tmpl w:val="CA4A00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3">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9983829"/>
    <w:multiLevelType w:val="hybridMultilevel"/>
    <w:tmpl w:val="45E27718"/>
    <w:lvl w:ilvl="0" w:tplc="DA5CB55E">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3F26712"/>
    <w:multiLevelType w:val="hybridMultilevel"/>
    <w:tmpl w:val="E6E2FC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3"/>
  </w:num>
  <w:num w:numId="5">
    <w:abstractNumId w:val="0"/>
  </w:num>
  <w:num w:numId="6">
    <w:abstractNumId w:val="13"/>
  </w:num>
  <w:num w:numId="7">
    <w:abstractNumId w:val="14"/>
  </w:num>
  <w:num w:numId="8">
    <w:abstractNumId w:val="10"/>
  </w:num>
  <w:num w:numId="9">
    <w:abstractNumId w:val="1"/>
  </w:num>
  <w:num w:numId="10">
    <w:abstractNumId w:val="2"/>
  </w:num>
  <w:num w:numId="11">
    <w:abstractNumId w:val="11"/>
  </w:num>
  <w:num w:numId="12">
    <w:abstractNumId w:val="16"/>
  </w:num>
  <w:num w:numId="13">
    <w:abstractNumId w:val="4"/>
  </w:num>
  <w:num w:numId="14">
    <w:abstractNumId w:val="8"/>
  </w:num>
  <w:num w:numId="15">
    <w:abstractNumId w:val="6"/>
  </w:num>
  <w:num w:numId="16">
    <w:abstractNumId w:val="1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505109"/>
    <w:rsid w:val="000043EC"/>
    <w:rsid w:val="0002619F"/>
    <w:rsid w:val="0004342F"/>
    <w:rsid w:val="00046382"/>
    <w:rsid w:val="00050D14"/>
    <w:rsid w:val="00051FEC"/>
    <w:rsid w:val="000544CB"/>
    <w:rsid w:val="0005592E"/>
    <w:rsid w:val="0007494B"/>
    <w:rsid w:val="00084B00"/>
    <w:rsid w:val="000A17DD"/>
    <w:rsid w:val="000A42A5"/>
    <w:rsid w:val="000B6158"/>
    <w:rsid w:val="000D5D62"/>
    <w:rsid w:val="000D7A36"/>
    <w:rsid w:val="000E3C9B"/>
    <w:rsid w:val="000F7F6B"/>
    <w:rsid w:val="00102DF9"/>
    <w:rsid w:val="0010446E"/>
    <w:rsid w:val="001160A6"/>
    <w:rsid w:val="001310C6"/>
    <w:rsid w:val="00140A7D"/>
    <w:rsid w:val="001466D1"/>
    <w:rsid w:val="00161009"/>
    <w:rsid w:val="00162591"/>
    <w:rsid w:val="001720DB"/>
    <w:rsid w:val="00174B0A"/>
    <w:rsid w:val="00190143"/>
    <w:rsid w:val="00191839"/>
    <w:rsid w:val="00194821"/>
    <w:rsid w:val="0019532B"/>
    <w:rsid w:val="0019610E"/>
    <w:rsid w:val="00196D8D"/>
    <w:rsid w:val="001A5E7A"/>
    <w:rsid w:val="001B5B53"/>
    <w:rsid w:val="001C2006"/>
    <w:rsid w:val="001D39EC"/>
    <w:rsid w:val="001D4706"/>
    <w:rsid w:val="001E0063"/>
    <w:rsid w:val="001E1F2D"/>
    <w:rsid w:val="001E39F3"/>
    <w:rsid w:val="001F726A"/>
    <w:rsid w:val="00201CE4"/>
    <w:rsid w:val="0020655D"/>
    <w:rsid w:val="00206C4E"/>
    <w:rsid w:val="00214579"/>
    <w:rsid w:val="00217DD5"/>
    <w:rsid w:val="00220DCF"/>
    <w:rsid w:val="00221806"/>
    <w:rsid w:val="002255A5"/>
    <w:rsid w:val="00225D85"/>
    <w:rsid w:val="00234BDE"/>
    <w:rsid w:val="00244482"/>
    <w:rsid w:val="00245BEE"/>
    <w:rsid w:val="0025614A"/>
    <w:rsid w:val="00270793"/>
    <w:rsid w:val="00275146"/>
    <w:rsid w:val="00282D9A"/>
    <w:rsid w:val="00285AE6"/>
    <w:rsid w:val="00286D40"/>
    <w:rsid w:val="00290249"/>
    <w:rsid w:val="00291D13"/>
    <w:rsid w:val="002947D8"/>
    <w:rsid w:val="002A0D05"/>
    <w:rsid w:val="002A521A"/>
    <w:rsid w:val="002B28DD"/>
    <w:rsid w:val="002B58C8"/>
    <w:rsid w:val="002B67B9"/>
    <w:rsid w:val="002C0236"/>
    <w:rsid w:val="002C354E"/>
    <w:rsid w:val="002C55E9"/>
    <w:rsid w:val="00301F49"/>
    <w:rsid w:val="003115B9"/>
    <w:rsid w:val="003170FE"/>
    <w:rsid w:val="0032364B"/>
    <w:rsid w:val="00323EAF"/>
    <w:rsid w:val="00331330"/>
    <w:rsid w:val="00334616"/>
    <w:rsid w:val="003405EC"/>
    <w:rsid w:val="00343623"/>
    <w:rsid w:val="0034698C"/>
    <w:rsid w:val="003564D0"/>
    <w:rsid w:val="00357EBD"/>
    <w:rsid w:val="00361ED7"/>
    <w:rsid w:val="0037224B"/>
    <w:rsid w:val="0037336E"/>
    <w:rsid w:val="00377A43"/>
    <w:rsid w:val="00396DF7"/>
    <w:rsid w:val="003A64DD"/>
    <w:rsid w:val="003A72BA"/>
    <w:rsid w:val="003B0B7D"/>
    <w:rsid w:val="003B584A"/>
    <w:rsid w:val="003C000A"/>
    <w:rsid w:val="003E63C7"/>
    <w:rsid w:val="003E779C"/>
    <w:rsid w:val="003F2B9D"/>
    <w:rsid w:val="00410812"/>
    <w:rsid w:val="004123B9"/>
    <w:rsid w:val="00412FC4"/>
    <w:rsid w:val="004201D9"/>
    <w:rsid w:val="004243FD"/>
    <w:rsid w:val="00435C84"/>
    <w:rsid w:val="00437A05"/>
    <w:rsid w:val="00446E2C"/>
    <w:rsid w:val="0045769A"/>
    <w:rsid w:val="004616CF"/>
    <w:rsid w:val="004620FD"/>
    <w:rsid w:val="0046595E"/>
    <w:rsid w:val="0046678A"/>
    <w:rsid w:val="004667CF"/>
    <w:rsid w:val="0048535C"/>
    <w:rsid w:val="00495D9F"/>
    <w:rsid w:val="004B0CD0"/>
    <w:rsid w:val="004B6ACC"/>
    <w:rsid w:val="004B701E"/>
    <w:rsid w:val="004C4B91"/>
    <w:rsid w:val="004F58F0"/>
    <w:rsid w:val="004F7A67"/>
    <w:rsid w:val="00505109"/>
    <w:rsid w:val="005078D0"/>
    <w:rsid w:val="00513136"/>
    <w:rsid w:val="005163ED"/>
    <w:rsid w:val="005210F4"/>
    <w:rsid w:val="00521B42"/>
    <w:rsid w:val="00527FF2"/>
    <w:rsid w:val="0053166E"/>
    <w:rsid w:val="00541246"/>
    <w:rsid w:val="00541F51"/>
    <w:rsid w:val="0054455E"/>
    <w:rsid w:val="00550CD4"/>
    <w:rsid w:val="0055347C"/>
    <w:rsid w:val="00565757"/>
    <w:rsid w:val="00586518"/>
    <w:rsid w:val="00590C03"/>
    <w:rsid w:val="005A1C92"/>
    <w:rsid w:val="005B14CF"/>
    <w:rsid w:val="005B27E5"/>
    <w:rsid w:val="005B32B4"/>
    <w:rsid w:val="005D7535"/>
    <w:rsid w:val="005F0EA7"/>
    <w:rsid w:val="0060314C"/>
    <w:rsid w:val="006137AC"/>
    <w:rsid w:val="00623AC6"/>
    <w:rsid w:val="00626752"/>
    <w:rsid w:val="00640BF5"/>
    <w:rsid w:val="00644373"/>
    <w:rsid w:val="0065000E"/>
    <w:rsid w:val="00650CC8"/>
    <w:rsid w:val="006650FB"/>
    <w:rsid w:val="006662AB"/>
    <w:rsid w:val="0067148F"/>
    <w:rsid w:val="00674A50"/>
    <w:rsid w:val="006873BA"/>
    <w:rsid w:val="006A0F06"/>
    <w:rsid w:val="006B7C54"/>
    <w:rsid w:val="006C06E7"/>
    <w:rsid w:val="006C608C"/>
    <w:rsid w:val="006E3121"/>
    <w:rsid w:val="006E7915"/>
    <w:rsid w:val="006E79FE"/>
    <w:rsid w:val="006F4BD2"/>
    <w:rsid w:val="006F74D3"/>
    <w:rsid w:val="007016B8"/>
    <w:rsid w:val="00701F2A"/>
    <w:rsid w:val="0073418C"/>
    <w:rsid w:val="0074602B"/>
    <w:rsid w:val="00754A9C"/>
    <w:rsid w:val="00770CCC"/>
    <w:rsid w:val="007767AF"/>
    <w:rsid w:val="00781BD1"/>
    <w:rsid w:val="00796F8A"/>
    <w:rsid w:val="007A473E"/>
    <w:rsid w:val="007C1A04"/>
    <w:rsid w:val="007D7842"/>
    <w:rsid w:val="007D7D18"/>
    <w:rsid w:val="007F525F"/>
    <w:rsid w:val="007F53FB"/>
    <w:rsid w:val="007F58E5"/>
    <w:rsid w:val="00804943"/>
    <w:rsid w:val="00816D0C"/>
    <w:rsid w:val="0082294C"/>
    <w:rsid w:val="00823C33"/>
    <w:rsid w:val="00844B49"/>
    <w:rsid w:val="00854326"/>
    <w:rsid w:val="00854762"/>
    <w:rsid w:val="00861578"/>
    <w:rsid w:val="00867420"/>
    <w:rsid w:val="00870A4F"/>
    <w:rsid w:val="00871BC4"/>
    <w:rsid w:val="00890C50"/>
    <w:rsid w:val="0089542C"/>
    <w:rsid w:val="008B1701"/>
    <w:rsid w:val="008C05E2"/>
    <w:rsid w:val="008C1BC8"/>
    <w:rsid w:val="008C4963"/>
    <w:rsid w:val="008D2239"/>
    <w:rsid w:val="008D55D4"/>
    <w:rsid w:val="008D5A6B"/>
    <w:rsid w:val="008E399D"/>
    <w:rsid w:val="008E7ED7"/>
    <w:rsid w:val="008F2869"/>
    <w:rsid w:val="00912136"/>
    <w:rsid w:val="00914949"/>
    <w:rsid w:val="0091562C"/>
    <w:rsid w:val="00916F4A"/>
    <w:rsid w:val="00921425"/>
    <w:rsid w:val="00924324"/>
    <w:rsid w:val="00932EC5"/>
    <w:rsid w:val="009453A8"/>
    <w:rsid w:val="00963846"/>
    <w:rsid w:val="00970A9C"/>
    <w:rsid w:val="00976209"/>
    <w:rsid w:val="00977AC3"/>
    <w:rsid w:val="009845EB"/>
    <w:rsid w:val="009B03FE"/>
    <w:rsid w:val="009B6185"/>
    <w:rsid w:val="009C43AD"/>
    <w:rsid w:val="009C45B2"/>
    <w:rsid w:val="009C5163"/>
    <w:rsid w:val="009C7623"/>
    <w:rsid w:val="009D19D2"/>
    <w:rsid w:val="009E0CA8"/>
    <w:rsid w:val="009E2FB3"/>
    <w:rsid w:val="009E3496"/>
    <w:rsid w:val="009E3E4D"/>
    <w:rsid w:val="009E53CD"/>
    <w:rsid w:val="009F2699"/>
    <w:rsid w:val="009F43F2"/>
    <w:rsid w:val="009F5C65"/>
    <w:rsid w:val="009F7CFC"/>
    <w:rsid w:val="00A07463"/>
    <w:rsid w:val="00A12877"/>
    <w:rsid w:val="00A15D0F"/>
    <w:rsid w:val="00A327AA"/>
    <w:rsid w:val="00A405B0"/>
    <w:rsid w:val="00A60E9A"/>
    <w:rsid w:val="00A64F04"/>
    <w:rsid w:val="00A67A1F"/>
    <w:rsid w:val="00A72685"/>
    <w:rsid w:val="00A76E09"/>
    <w:rsid w:val="00A969D0"/>
    <w:rsid w:val="00AA429C"/>
    <w:rsid w:val="00AB78D5"/>
    <w:rsid w:val="00AC0C9C"/>
    <w:rsid w:val="00AC313B"/>
    <w:rsid w:val="00AD00AF"/>
    <w:rsid w:val="00AE3D67"/>
    <w:rsid w:val="00AE47DB"/>
    <w:rsid w:val="00AE7A8B"/>
    <w:rsid w:val="00AF79AE"/>
    <w:rsid w:val="00B00FC9"/>
    <w:rsid w:val="00B1301C"/>
    <w:rsid w:val="00B15583"/>
    <w:rsid w:val="00B175C2"/>
    <w:rsid w:val="00B22EEA"/>
    <w:rsid w:val="00B313AE"/>
    <w:rsid w:val="00B33394"/>
    <w:rsid w:val="00B4655C"/>
    <w:rsid w:val="00B511DD"/>
    <w:rsid w:val="00B51816"/>
    <w:rsid w:val="00B51A5C"/>
    <w:rsid w:val="00B6332A"/>
    <w:rsid w:val="00B7210B"/>
    <w:rsid w:val="00B77D39"/>
    <w:rsid w:val="00B824EE"/>
    <w:rsid w:val="00B867AA"/>
    <w:rsid w:val="00B933A8"/>
    <w:rsid w:val="00B94FFE"/>
    <w:rsid w:val="00B96A90"/>
    <w:rsid w:val="00BA250E"/>
    <w:rsid w:val="00BB1671"/>
    <w:rsid w:val="00BC4607"/>
    <w:rsid w:val="00BC5791"/>
    <w:rsid w:val="00BD38B5"/>
    <w:rsid w:val="00BE30A0"/>
    <w:rsid w:val="00BE44FD"/>
    <w:rsid w:val="00BF0597"/>
    <w:rsid w:val="00C0438B"/>
    <w:rsid w:val="00C055F9"/>
    <w:rsid w:val="00C114AC"/>
    <w:rsid w:val="00C20F68"/>
    <w:rsid w:val="00C254A6"/>
    <w:rsid w:val="00C31F01"/>
    <w:rsid w:val="00C372D4"/>
    <w:rsid w:val="00C4202F"/>
    <w:rsid w:val="00C461BD"/>
    <w:rsid w:val="00C52D3D"/>
    <w:rsid w:val="00C601CE"/>
    <w:rsid w:val="00C602C0"/>
    <w:rsid w:val="00C7207B"/>
    <w:rsid w:val="00C81F02"/>
    <w:rsid w:val="00C84582"/>
    <w:rsid w:val="00C8500C"/>
    <w:rsid w:val="00C85B4C"/>
    <w:rsid w:val="00C87135"/>
    <w:rsid w:val="00C94323"/>
    <w:rsid w:val="00CA5B45"/>
    <w:rsid w:val="00CA623B"/>
    <w:rsid w:val="00CA7375"/>
    <w:rsid w:val="00CC300F"/>
    <w:rsid w:val="00CC57BE"/>
    <w:rsid w:val="00CC6BD7"/>
    <w:rsid w:val="00CD1C6F"/>
    <w:rsid w:val="00CD748B"/>
    <w:rsid w:val="00CF2EA8"/>
    <w:rsid w:val="00D0172F"/>
    <w:rsid w:val="00D01ECE"/>
    <w:rsid w:val="00D04F0F"/>
    <w:rsid w:val="00D15CF0"/>
    <w:rsid w:val="00D1684E"/>
    <w:rsid w:val="00D200E9"/>
    <w:rsid w:val="00D4671F"/>
    <w:rsid w:val="00D56168"/>
    <w:rsid w:val="00D62646"/>
    <w:rsid w:val="00D65FD5"/>
    <w:rsid w:val="00D702A4"/>
    <w:rsid w:val="00D7257B"/>
    <w:rsid w:val="00D94AAB"/>
    <w:rsid w:val="00DA0F22"/>
    <w:rsid w:val="00DA150B"/>
    <w:rsid w:val="00DB7D86"/>
    <w:rsid w:val="00DC4A82"/>
    <w:rsid w:val="00DC7309"/>
    <w:rsid w:val="00DD5A82"/>
    <w:rsid w:val="00DD601E"/>
    <w:rsid w:val="00DD6520"/>
    <w:rsid w:val="00DD65EA"/>
    <w:rsid w:val="00DD738B"/>
    <w:rsid w:val="00DE6CA0"/>
    <w:rsid w:val="00DF5E83"/>
    <w:rsid w:val="00DF6A74"/>
    <w:rsid w:val="00E162FE"/>
    <w:rsid w:val="00E2041A"/>
    <w:rsid w:val="00E23C52"/>
    <w:rsid w:val="00E401B0"/>
    <w:rsid w:val="00E50EE9"/>
    <w:rsid w:val="00E543FB"/>
    <w:rsid w:val="00E560CA"/>
    <w:rsid w:val="00E64FC8"/>
    <w:rsid w:val="00E6796A"/>
    <w:rsid w:val="00E874FF"/>
    <w:rsid w:val="00E92B72"/>
    <w:rsid w:val="00E94BFB"/>
    <w:rsid w:val="00E95569"/>
    <w:rsid w:val="00EA305D"/>
    <w:rsid w:val="00EA4033"/>
    <w:rsid w:val="00EA434E"/>
    <w:rsid w:val="00EB2BEF"/>
    <w:rsid w:val="00EC3E5C"/>
    <w:rsid w:val="00EC5A92"/>
    <w:rsid w:val="00EE32CD"/>
    <w:rsid w:val="00F00A01"/>
    <w:rsid w:val="00F03A48"/>
    <w:rsid w:val="00F07272"/>
    <w:rsid w:val="00F109AA"/>
    <w:rsid w:val="00F11953"/>
    <w:rsid w:val="00F14761"/>
    <w:rsid w:val="00F20C2F"/>
    <w:rsid w:val="00F23DD0"/>
    <w:rsid w:val="00F2593B"/>
    <w:rsid w:val="00F346CB"/>
    <w:rsid w:val="00F55719"/>
    <w:rsid w:val="00F636EB"/>
    <w:rsid w:val="00F67FC1"/>
    <w:rsid w:val="00F76057"/>
    <w:rsid w:val="00F83480"/>
    <w:rsid w:val="00F8677A"/>
    <w:rsid w:val="00FB02C5"/>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 w:type="paragraph" w:styleId="BodyTextIndent2">
    <w:name w:val="Body Text Indent 2"/>
    <w:basedOn w:val="Normal"/>
    <w:link w:val="BodyTextIndent2Char"/>
    <w:uiPriority w:val="99"/>
    <w:semiHidden/>
    <w:unhideWhenUsed/>
    <w:rsid w:val="00F67FC1"/>
    <w:pPr>
      <w:spacing w:after="120" w:line="480" w:lineRule="auto"/>
      <w:ind w:left="283"/>
    </w:pPr>
  </w:style>
  <w:style w:type="character" w:customStyle="1" w:styleId="BodyTextIndent2Char">
    <w:name w:val="Body Text Indent 2 Char"/>
    <w:link w:val="BodyTextIndent2"/>
    <w:uiPriority w:val="99"/>
    <w:semiHidden/>
    <w:rsid w:val="00F67FC1"/>
    <w:rPr>
      <w:rFonts w:ascii="Times New Roman" w:hAnsi="Times New Roman"/>
      <w:sz w:val="24"/>
      <w:szCs w:val="24"/>
    </w:rPr>
  </w:style>
  <w:style w:type="table" w:styleId="TableGrid">
    <w:name w:val="Table Grid"/>
    <w:basedOn w:val="TableNormal"/>
    <w:uiPriority w:val="59"/>
    <w:rsid w:val="00D0172F"/>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552932554">
      <w:bodyDiv w:val="1"/>
      <w:marLeft w:val="0"/>
      <w:marRight w:val="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12986177">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2020-03-10T16:25:00Z</cp:lastPrinted>
  <dcterms:created xsi:type="dcterms:W3CDTF">2021-01-24T15:08:00Z</dcterms:created>
  <dcterms:modified xsi:type="dcterms:W3CDTF">2021-01-24T15:08:00Z</dcterms:modified>
</cp:coreProperties>
</file>